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Look w:val="04A0" w:firstRow="1" w:lastRow="0" w:firstColumn="1" w:lastColumn="0" w:noHBand="0" w:noVBand="1"/>
      </w:tblPr>
      <w:tblGrid>
        <w:gridCol w:w="9781"/>
      </w:tblGrid>
      <w:tr w:rsidR="001B0B14">
        <w:tc>
          <w:tcPr>
            <w:tcW w:w="9781" w:type="dxa"/>
            <w:hideMark/>
          </w:tcPr>
          <w:p w:rsidR="001B0B14" w:rsidRDefault="007E7435">
            <w:pPr>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 xml:space="preserve">Приложение № </w:t>
            </w:r>
            <w:r w:rsidR="00150913">
              <w:rPr>
                <w:rFonts w:ascii="Times New Roman" w:hAnsi="Times New Roman" w:cs="Times New Roman"/>
                <w:b/>
                <w:i/>
                <w:sz w:val="24"/>
                <w:szCs w:val="24"/>
              </w:rPr>
              <w:t>1</w:t>
            </w:r>
            <w:r>
              <w:rPr>
                <w:rFonts w:ascii="Times New Roman" w:hAnsi="Times New Roman" w:cs="Times New Roman"/>
                <w:b/>
                <w:i/>
                <w:sz w:val="24"/>
                <w:szCs w:val="24"/>
              </w:rPr>
              <w:t xml:space="preserve"> </w:t>
            </w:r>
          </w:p>
          <w:p w:rsidR="001B0B14" w:rsidRDefault="007E7435">
            <w:pPr>
              <w:spacing w:after="0" w:line="240" w:lineRule="auto"/>
              <w:jc w:val="right"/>
              <w:rPr>
                <w:rFonts w:ascii="Times New Roman" w:hAnsi="Times New Roman" w:cs="Times New Roman"/>
                <w:b/>
                <w:color w:val="000000" w:themeColor="text1"/>
                <w:sz w:val="24"/>
                <w:szCs w:val="24"/>
              </w:rPr>
            </w:pPr>
            <w:r>
              <w:rPr>
                <w:rFonts w:ascii="Times New Roman" w:hAnsi="Times New Roman" w:cs="Times New Roman"/>
                <w:b/>
                <w:i/>
                <w:sz w:val="24"/>
                <w:szCs w:val="24"/>
              </w:rPr>
              <w:t xml:space="preserve">к </w:t>
            </w:r>
            <w:r>
              <w:rPr>
                <w:rFonts w:ascii="Times New Roman" w:hAnsi="Times New Roman" w:cs="Times New Roman"/>
                <w:b/>
                <w:bCs/>
                <w:i/>
                <w:sz w:val="24"/>
                <w:szCs w:val="24"/>
              </w:rPr>
              <w:t>документации запроса предложений</w:t>
            </w:r>
          </w:p>
        </w:tc>
      </w:tr>
    </w:tbl>
    <w:p w:rsidR="001B0B14" w:rsidRDefault="001B0B14">
      <w:pPr>
        <w:spacing w:after="0" w:line="240" w:lineRule="auto"/>
        <w:jc w:val="center"/>
        <w:outlineLvl w:val="0"/>
        <w:rPr>
          <w:rFonts w:ascii="Times New Roman" w:hAnsi="Times New Roman" w:cs="Times New Roman"/>
          <w:b/>
          <w:sz w:val="24"/>
          <w:szCs w:val="24"/>
        </w:rPr>
      </w:pPr>
    </w:p>
    <w:p w:rsidR="001B0B14" w:rsidRDefault="007E7435">
      <w:pPr>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ТЕХНИЧЕСКОЕ ЗАДАНИЕ</w:t>
      </w:r>
    </w:p>
    <w:p w:rsidR="001B0B14" w:rsidRDefault="007E7435">
      <w:pPr>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на поставку электрических зарядных станций уличного исполнения типа Mode 4 (</w:t>
      </w:r>
      <w:r>
        <w:rPr>
          <w:rFonts w:ascii="Times New Roman" w:hAnsi="Times New Roman" w:cs="Times New Roman"/>
          <w:b/>
          <w:color w:val="000000" w:themeColor="text1"/>
          <w:sz w:val="24"/>
          <w:szCs w:val="24"/>
        </w:rPr>
        <w:t>постоянного тока</w:t>
      </w:r>
      <w:r>
        <w:rPr>
          <w:rFonts w:ascii="Times New Roman" w:eastAsia="Times New Roman" w:hAnsi="Times New Roman" w:cs="Times New Roman"/>
          <w:b/>
          <w:bCs/>
          <w:color w:val="000000" w:themeColor="text1"/>
          <w:sz w:val="24"/>
          <w:szCs w:val="24"/>
          <w:lang w:eastAsia="ru-RU"/>
        </w:rPr>
        <w:t xml:space="preserve">) для зарядки аккумуляторного электротранспорта </w:t>
      </w:r>
    </w:p>
    <w:p w:rsidR="001B0B14" w:rsidRDefault="007E7435" w:rsidP="007E743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для нужд АО «Энергосервис Волги»</w:t>
      </w:r>
    </w:p>
    <w:p w:rsidR="001B0B14" w:rsidRDefault="001B0B14">
      <w:pPr>
        <w:spacing w:after="0" w:line="240" w:lineRule="auto"/>
        <w:jc w:val="center"/>
        <w:rPr>
          <w:rFonts w:ascii="Times New Roman" w:eastAsia="Times New Roman" w:hAnsi="Times New Roman" w:cs="Times New Roman"/>
          <w:b/>
          <w:bCs/>
          <w:color w:val="000000" w:themeColor="text1"/>
          <w:sz w:val="24"/>
          <w:szCs w:val="24"/>
          <w:lang w:eastAsia="ru-RU"/>
        </w:rPr>
      </w:pPr>
    </w:p>
    <w:p w:rsidR="001B0B14" w:rsidRDefault="001B0B14">
      <w:pPr>
        <w:spacing w:after="0" w:line="240" w:lineRule="auto"/>
        <w:jc w:val="center"/>
        <w:rPr>
          <w:rFonts w:ascii="Times New Roman" w:eastAsia="Times New Roman" w:hAnsi="Times New Roman" w:cs="Times New Roman"/>
          <w:b/>
          <w:bCs/>
          <w:color w:val="000000" w:themeColor="text1"/>
          <w:sz w:val="24"/>
          <w:szCs w:val="24"/>
          <w:lang w:eastAsia="ru-RU"/>
        </w:rPr>
      </w:pPr>
    </w:p>
    <w:p w:rsidR="001B0B14" w:rsidRDefault="007E7435">
      <w:pPr>
        <w:pStyle w:val="1"/>
        <w:numPr>
          <w:ilvl w:val="0"/>
          <w:numId w:val="1"/>
        </w:numPr>
        <w:tabs>
          <w:tab w:val="left" w:pos="1134"/>
        </w:tabs>
        <w:spacing w:line="240" w:lineRule="auto"/>
        <w:ind w:firstLine="567"/>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Назначение</w:t>
      </w:r>
    </w:p>
    <w:p w:rsidR="001B0B14" w:rsidRDefault="007E7435">
      <w:pPr>
        <w:numPr>
          <w:ilvl w:val="1"/>
          <w:numId w:val="1"/>
        </w:numPr>
        <w:tabs>
          <w:tab w:val="left" w:pos="1134"/>
        </w:tabs>
        <w:spacing w:line="240" w:lineRule="auto"/>
        <w:ind w:firstLine="567"/>
        <w:jc w:val="both"/>
        <w:rPr>
          <w:rFonts w:ascii="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Электрические зарядные станции для зарядки аккумуляторного электротранспорта (далее - ЭЗС) </w:t>
      </w:r>
      <w:r>
        <w:rPr>
          <w:rFonts w:ascii="Times New Roman" w:eastAsia="Times New Roman" w:hAnsi="Times New Roman" w:cs="Times New Roman"/>
          <w:bCs/>
          <w:color w:val="000000" w:themeColor="text1"/>
          <w:sz w:val="24"/>
          <w:szCs w:val="24"/>
          <w:lang w:eastAsia="ru-RU"/>
        </w:rPr>
        <w:t xml:space="preserve">являются элементом </w:t>
      </w:r>
      <w:r>
        <w:rPr>
          <w:rFonts w:ascii="Times New Roman" w:hAnsi="Times New Roman" w:cs="Times New Roman"/>
          <w:color w:val="000000" w:themeColor="text1"/>
          <w:sz w:val="24"/>
          <w:szCs w:val="24"/>
        </w:rPr>
        <w:t>зарядной инфраструктуры, предоставляющая электроэнергию для зарядки аккумуляторного электротранспорта, в том числе электромобилей, электробусов, электроскутеров, электросамокатов, и т.п.</w:t>
      </w:r>
    </w:p>
    <w:p w:rsidR="001B0B14" w:rsidRDefault="007E7435">
      <w:pPr>
        <w:numPr>
          <w:ilvl w:val="1"/>
          <w:numId w:val="1"/>
        </w:numPr>
        <w:tabs>
          <w:tab w:val="left" w:pos="1134"/>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Объектом поставки является </w:t>
      </w:r>
      <w:r>
        <w:rPr>
          <w:rFonts w:ascii="Times New Roman" w:hAnsi="Times New Roman" w:cs="Times New Roman"/>
          <w:b/>
          <w:color w:val="000000" w:themeColor="text1"/>
          <w:sz w:val="24"/>
          <w:szCs w:val="24"/>
        </w:rPr>
        <w:t>зарядная станция</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постоянного тока</w:t>
      </w:r>
      <w:r>
        <w:rPr>
          <w:rFonts w:ascii="Times New Roman" w:eastAsia="Times New Roman" w:hAnsi="Times New Roman" w:cs="Times New Roman"/>
          <w:b/>
          <w:bCs/>
          <w:color w:val="000000" w:themeColor="text1"/>
          <w:sz w:val="24"/>
          <w:szCs w:val="24"/>
          <w:lang w:eastAsia="ru-RU"/>
        </w:rPr>
        <w:t xml:space="preserve"> типа Mode 4 на 50 кВт с возможностью модернизации до 90 кВт </w:t>
      </w:r>
      <w:r>
        <w:rPr>
          <w:rFonts w:ascii="Times New Roman" w:eastAsia="Times New Roman" w:hAnsi="Times New Roman" w:cs="Times New Roman"/>
          <w:bCs/>
          <w:color w:val="000000" w:themeColor="text1"/>
          <w:sz w:val="24"/>
          <w:szCs w:val="24"/>
          <w:lang w:eastAsia="ru-RU"/>
        </w:rPr>
        <w:t>для зарядки аккумуляторного электротранспорта</w:t>
      </w:r>
      <w:r>
        <w:rPr>
          <w:rFonts w:ascii="Times New Roman" w:hAnsi="Times New Roman" w:cs="Times New Roman"/>
          <w:color w:val="000000" w:themeColor="text1"/>
          <w:sz w:val="24"/>
          <w:szCs w:val="24"/>
        </w:rPr>
        <w:t xml:space="preserve"> в комплекте: с кабелем-переходником, с установленным программным обеспечением, программной и аппаратной частью для подключения к ЭЗС </w:t>
      </w:r>
      <w:r>
        <w:rPr>
          <w:rFonts w:ascii="Times New Roman" w:hAnsi="Times New Roman" w:cs="Times New Roman"/>
          <w:bCs/>
          <w:color w:val="000000" w:themeColor="text1"/>
          <w:sz w:val="24"/>
          <w:szCs w:val="24"/>
        </w:rPr>
        <w:t>аккумуляторного электротранспорта</w:t>
      </w:r>
      <w:r>
        <w:rPr>
          <w:rFonts w:ascii="Times New Roman" w:hAnsi="Times New Roman" w:cs="Times New Roman"/>
          <w:color w:val="000000" w:themeColor="text1"/>
          <w:sz w:val="24"/>
          <w:szCs w:val="24"/>
        </w:rPr>
        <w:t xml:space="preserve">, защитным козырьком и уличным освещением в комплекте со светодиодным светильником (с возможностью замены лампы и световым потоком 10 лм), датчиком освещённости и IP камеры видеонаблюдения с поддержкой протокола RTSP (включая наладку оборудования), с сопутствующей документацией, оформленная в соответствии с требованиями настоящего технического задания (далее – </w:t>
      </w:r>
      <w:r>
        <w:rPr>
          <w:rFonts w:ascii="Times New Roman" w:hAnsi="Times New Roman" w:cs="Times New Roman"/>
          <w:b/>
          <w:color w:val="000000" w:themeColor="text1"/>
          <w:sz w:val="24"/>
          <w:szCs w:val="24"/>
        </w:rPr>
        <w:t>Продукция)</w:t>
      </w:r>
      <w:r>
        <w:rPr>
          <w:rFonts w:ascii="Times New Roman" w:hAnsi="Times New Roman" w:cs="Times New Roman"/>
          <w:color w:val="000000" w:themeColor="text1"/>
          <w:sz w:val="24"/>
          <w:szCs w:val="24"/>
        </w:rPr>
        <w:t>.</w:t>
      </w:r>
    </w:p>
    <w:p w:rsidR="001B0B14" w:rsidRDefault="007E7435">
      <w:pPr>
        <w:numPr>
          <w:ilvl w:val="1"/>
          <w:numId w:val="1"/>
        </w:num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 избежание неоднозначного толкования положений настоящего технического задания приведены следующие понятия и определения:</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ГОСТ – Государственный стандарт Российской Федерации</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Заказчик – Публичное акционерное общество «Россети Волга» (ПАО «Россети Волга»), в лице Приволжского производственного отделения филиала «Саратовские распределительные сети»</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НТД – Нормативно-технические документы</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 – Программное обеспечение</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МЭК – Международная электротехническая комиссия</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МСП – Малое и среднее предприятие</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СТО – Стандарт организации</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ТУ – Технические условия</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ФЗ – Федеральный закон</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ЭЗС – Электрические зарядные станции</w:t>
      </w:r>
    </w:p>
    <w:p w:rsidR="001B0B14" w:rsidRDefault="007E7435">
      <w:p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Mode4 – Режим работы зарядной станции, который подразумевает «быструю» зарядку, постоянным током силой до 200А и напряжением до 1000В, электромобиля в течение 15-60 мин. в зависимости от емкости аккумулятора автомобиля. </w:t>
      </w:r>
    </w:p>
    <w:p w:rsidR="001B0B14" w:rsidRDefault="007E7435">
      <w:pPr>
        <w:pStyle w:val="a5"/>
        <w:numPr>
          <w:ilvl w:val="1"/>
          <w:numId w:val="1"/>
        </w:numPr>
        <w:tabs>
          <w:tab w:val="left" w:pos="284"/>
          <w:tab w:val="left" w:pos="1134"/>
        </w:tabs>
        <w:ind w:firstLine="567"/>
        <w:rPr>
          <w:color w:val="000000" w:themeColor="text1"/>
          <w:sz w:val="24"/>
          <w:szCs w:val="24"/>
        </w:rPr>
      </w:pPr>
      <w:r>
        <w:rPr>
          <w:color w:val="000000" w:themeColor="text1"/>
          <w:sz w:val="24"/>
          <w:szCs w:val="24"/>
        </w:rPr>
        <w:t xml:space="preserve">Продукция должна быть оформлена в соответствии с </w:t>
      </w:r>
      <w:r>
        <w:rPr>
          <w:color w:val="000000" w:themeColor="text1"/>
          <w:sz w:val="24"/>
          <w:szCs w:val="24"/>
          <w:lang w:val="ru-RU"/>
        </w:rPr>
        <w:t>брендом</w:t>
      </w:r>
      <w:r>
        <w:rPr>
          <w:color w:val="000000" w:themeColor="text1"/>
          <w:sz w:val="24"/>
          <w:szCs w:val="24"/>
        </w:rPr>
        <w:t xml:space="preserve"> «Россети Электротранспорт» (приложение </w:t>
      </w:r>
      <w:r>
        <w:rPr>
          <w:color w:val="000000" w:themeColor="text1"/>
          <w:sz w:val="24"/>
          <w:szCs w:val="24"/>
          <w:lang w:val="ru-RU"/>
        </w:rPr>
        <w:t>1-4 к настоящему техническому заданию</w:t>
      </w:r>
      <w:r>
        <w:rPr>
          <w:color w:val="000000" w:themeColor="text1"/>
          <w:sz w:val="24"/>
          <w:szCs w:val="24"/>
        </w:rPr>
        <w:t>).</w:t>
      </w:r>
    </w:p>
    <w:p w:rsidR="001B0B14" w:rsidRDefault="007E7435">
      <w:pPr>
        <w:numPr>
          <w:ilvl w:val="1"/>
          <w:numId w:val="1"/>
        </w:num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Поставщик должен осуществить монтаж, в том числе фундаментного основания, настройку и ввод в работу поставляемого оборудования, а также провести инструктаж и обучение персонала.</w:t>
      </w:r>
    </w:p>
    <w:p w:rsidR="001B0B14" w:rsidRDefault="007E7435">
      <w:pPr>
        <w:numPr>
          <w:ilvl w:val="1"/>
          <w:numId w:val="1"/>
        </w:numPr>
        <w:tabs>
          <w:tab w:val="left" w:pos="1134"/>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Стоимость Продукции включает все затраты Поставщика, связанные с выполнением поставок, в том числе расходы на транспортировку товара до грузополучателя, монтаж ЭЗС, обучение,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1B0B14" w:rsidRDefault="007E7435">
      <w:pPr>
        <w:pStyle w:val="1"/>
        <w:numPr>
          <w:ilvl w:val="0"/>
          <w:numId w:val="1"/>
        </w:numPr>
        <w:tabs>
          <w:tab w:val="left" w:pos="1134"/>
        </w:tabs>
        <w:spacing w:line="240" w:lineRule="auto"/>
        <w:ind w:firstLine="567"/>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Общие требования к продукции и условиям поставки</w:t>
      </w:r>
    </w:p>
    <w:p w:rsidR="001B0B14" w:rsidRDefault="007E7435">
      <w:pPr>
        <w:pStyle w:val="a5"/>
        <w:numPr>
          <w:ilvl w:val="1"/>
          <w:numId w:val="1"/>
        </w:numPr>
        <w:tabs>
          <w:tab w:val="left" w:pos="284"/>
          <w:tab w:val="left" w:pos="1134"/>
        </w:tabs>
        <w:ind w:firstLine="567"/>
        <w:rPr>
          <w:color w:val="000000" w:themeColor="text1"/>
          <w:sz w:val="24"/>
          <w:szCs w:val="24"/>
          <w:lang w:val="ru-RU"/>
        </w:rPr>
      </w:pPr>
      <w:r>
        <w:rPr>
          <w:color w:val="000000" w:themeColor="text1"/>
          <w:sz w:val="24"/>
          <w:szCs w:val="24"/>
          <w:lang w:val="ru-RU"/>
        </w:rPr>
        <w:t>Поставляемая Продукция должна соответствовать требованиям следующих нормативных документов (НТД):</w:t>
      </w:r>
    </w:p>
    <w:p w:rsidR="001B0B14" w:rsidRDefault="007E7435">
      <w:pPr>
        <w:pStyle w:val="a5"/>
        <w:numPr>
          <w:ilvl w:val="0"/>
          <w:numId w:val="2"/>
        </w:numPr>
        <w:tabs>
          <w:tab w:val="left" w:pos="1134"/>
        </w:tabs>
        <w:ind w:left="0" w:firstLine="567"/>
        <w:rPr>
          <w:color w:val="000000" w:themeColor="text1"/>
          <w:sz w:val="24"/>
          <w:szCs w:val="24"/>
          <w:lang w:val="ru-RU"/>
        </w:rPr>
      </w:pPr>
      <w:r>
        <w:rPr>
          <w:color w:val="000000" w:themeColor="text1"/>
          <w:sz w:val="24"/>
          <w:szCs w:val="24"/>
          <w:lang w:val="ru-RU"/>
        </w:rPr>
        <w:t>ГОСТ Р МЭК 61851-1 «Система токопроводящей зарядки электромобилей. Часть 1. Общие требования».</w:t>
      </w:r>
    </w:p>
    <w:p w:rsidR="001B0B14" w:rsidRDefault="007E7435">
      <w:pPr>
        <w:pStyle w:val="a5"/>
        <w:numPr>
          <w:ilvl w:val="0"/>
          <w:numId w:val="2"/>
        </w:numPr>
        <w:tabs>
          <w:tab w:val="left" w:pos="1134"/>
        </w:tabs>
        <w:ind w:left="0" w:firstLine="567"/>
        <w:rPr>
          <w:color w:val="000000" w:themeColor="text1"/>
          <w:sz w:val="24"/>
          <w:szCs w:val="24"/>
          <w:lang w:val="ru-RU"/>
        </w:rPr>
      </w:pPr>
      <w:r>
        <w:rPr>
          <w:color w:val="000000" w:themeColor="text1"/>
          <w:sz w:val="24"/>
          <w:szCs w:val="24"/>
          <w:lang w:val="ru-RU"/>
        </w:rPr>
        <w:t>ГОСТ Р МЭК 61851-23 «Система кондуктивной (токопроводящей) зарядки электромобилей. Часть 23. Станция зарядки постоянным током для электромобилей».</w:t>
      </w:r>
    </w:p>
    <w:p w:rsidR="001B0B14" w:rsidRDefault="007E7435">
      <w:pPr>
        <w:pStyle w:val="a5"/>
        <w:numPr>
          <w:ilvl w:val="0"/>
          <w:numId w:val="2"/>
        </w:numPr>
        <w:tabs>
          <w:tab w:val="left" w:pos="1134"/>
        </w:tabs>
        <w:ind w:left="0" w:firstLine="567"/>
        <w:rPr>
          <w:color w:val="000000" w:themeColor="text1"/>
          <w:sz w:val="24"/>
          <w:szCs w:val="24"/>
          <w:lang w:val="ru-RU"/>
        </w:rPr>
      </w:pPr>
      <w:r>
        <w:rPr>
          <w:color w:val="000000" w:themeColor="text1"/>
          <w:sz w:val="24"/>
          <w:szCs w:val="24"/>
          <w:lang w:val="ru-RU"/>
        </w:rPr>
        <w:t>ГОСТ Р МЭК 62196 «Вилки, штепсельные розетки, соединители и вводы для транспортных средств. Кондуктивная зарядка для электромобилей. Часть 2. Требования размерной совместимости и взаимозаменяемости для штыревых разъемов и арматуры сети переменного тока».</w:t>
      </w:r>
    </w:p>
    <w:p w:rsidR="001B0B14" w:rsidRDefault="007E7435">
      <w:pPr>
        <w:pStyle w:val="a5"/>
        <w:numPr>
          <w:ilvl w:val="0"/>
          <w:numId w:val="2"/>
        </w:numPr>
        <w:tabs>
          <w:tab w:val="left" w:pos="1134"/>
        </w:tabs>
        <w:ind w:left="0" w:firstLine="567"/>
        <w:rPr>
          <w:color w:val="000000" w:themeColor="text1"/>
          <w:sz w:val="24"/>
          <w:szCs w:val="24"/>
          <w:lang w:val="ru-RU"/>
        </w:rPr>
      </w:pPr>
      <w:r>
        <w:rPr>
          <w:color w:val="000000" w:themeColor="text1"/>
          <w:sz w:val="24"/>
          <w:szCs w:val="24"/>
          <w:lang w:val="ru-RU"/>
        </w:rPr>
        <w:t>ТР ТС 004/2011</w:t>
      </w:r>
      <w:r>
        <w:rPr>
          <w:color w:val="000000" w:themeColor="text1"/>
        </w:rPr>
        <w:t xml:space="preserve"> </w:t>
      </w:r>
      <w:r>
        <w:rPr>
          <w:color w:val="000000" w:themeColor="text1"/>
          <w:sz w:val="24"/>
          <w:szCs w:val="24"/>
          <w:lang w:val="ru-RU"/>
        </w:rPr>
        <w:t>Технический регламент Таможенного Союза «О безопасности низковольтного оборудования»;</w:t>
      </w:r>
    </w:p>
    <w:p w:rsidR="001B0B14" w:rsidRDefault="007E7435">
      <w:pPr>
        <w:pStyle w:val="a5"/>
        <w:numPr>
          <w:ilvl w:val="0"/>
          <w:numId w:val="2"/>
        </w:numPr>
        <w:tabs>
          <w:tab w:val="left" w:pos="1134"/>
        </w:tabs>
        <w:ind w:left="0" w:firstLine="567"/>
        <w:rPr>
          <w:color w:val="000000" w:themeColor="text1"/>
          <w:sz w:val="24"/>
          <w:szCs w:val="24"/>
          <w:lang w:val="ru-RU"/>
        </w:rPr>
      </w:pPr>
      <w:r>
        <w:rPr>
          <w:color w:val="000000" w:themeColor="text1"/>
          <w:sz w:val="24"/>
          <w:szCs w:val="24"/>
          <w:lang w:val="ru-RU"/>
        </w:rPr>
        <w:t>ТР ТС 020/2011 Технический регламент Таможенного Союза «Электромагнитная совместимость технических средств»;</w:t>
      </w:r>
    </w:p>
    <w:p w:rsidR="001B0B14" w:rsidRDefault="007E7435">
      <w:pPr>
        <w:pStyle w:val="a5"/>
        <w:numPr>
          <w:ilvl w:val="0"/>
          <w:numId w:val="2"/>
        </w:numPr>
        <w:tabs>
          <w:tab w:val="left" w:pos="1134"/>
        </w:tabs>
        <w:spacing w:after="240"/>
        <w:ind w:left="0" w:firstLine="567"/>
        <w:rPr>
          <w:color w:val="000000" w:themeColor="text1"/>
          <w:sz w:val="24"/>
          <w:szCs w:val="24"/>
          <w:lang w:val="ru-RU"/>
        </w:rPr>
      </w:pPr>
      <w:r>
        <w:rPr>
          <w:color w:val="000000" w:themeColor="text1"/>
          <w:sz w:val="24"/>
          <w:szCs w:val="24"/>
        </w:rPr>
        <w:t>ГОСТ Р 55706-2013</w:t>
      </w:r>
      <w:r>
        <w:rPr>
          <w:color w:val="000000" w:themeColor="text1"/>
          <w:sz w:val="24"/>
          <w:szCs w:val="24"/>
          <w:lang w:val="ru-RU"/>
        </w:rPr>
        <w:t xml:space="preserve"> </w:t>
      </w:r>
      <w:r>
        <w:rPr>
          <w:color w:val="000000" w:themeColor="text1"/>
          <w:sz w:val="24"/>
          <w:szCs w:val="24"/>
        </w:rPr>
        <w:t>Освещение наружное утилитарное</w:t>
      </w:r>
      <w:r>
        <w:rPr>
          <w:color w:val="000000" w:themeColor="text1"/>
          <w:sz w:val="24"/>
          <w:szCs w:val="24"/>
          <w:lang w:val="ru-RU"/>
        </w:rPr>
        <w:t xml:space="preserve">. </w:t>
      </w:r>
      <w:r>
        <w:rPr>
          <w:color w:val="000000" w:themeColor="text1"/>
          <w:sz w:val="24"/>
          <w:szCs w:val="24"/>
        </w:rPr>
        <w:t>Классификация и нормы</w:t>
      </w:r>
      <w:r>
        <w:rPr>
          <w:color w:val="000000" w:themeColor="text1"/>
          <w:sz w:val="24"/>
          <w:szCs w:val="24"/>
          <w:lang w:val="ru-RU"/>
        </w:rPr>
        <w:t>.</w:t>
      </w:r>
    </w:p>
    <w:p w:rsidR="001B0B14" w:rsidRDefault="007E7435">
      <w:pPr>
        <w:pStyle w:val="a5"/>
        <w:numPr>
          <w:ilvl w:val="1"/>
          <w:numId w:val="1"/>
        </w:numPr>
        <w:tabs>
          <w:tab w:val="left" w:pos="284"/>
          <w:tab w:val="left" w:pos="1134"/>
        </w:tabs>
        <w:spacing w:after="240"/>
        <w:ind w:firstLine="567"/>
        <w:rPr>
          <w:color w:val="000000" w:themeColor="text1"/>
          <w:sz w:val="24"/>
          <w:szCs w:val="24"/>
          <w:lang w:val="ru-RU"/>
        </w:rPr>
      </w:pPr>
      <w:r>
        <w:rPr>
          <w:color w:val="000000" w:themeColor="text1"/>
          <w:sz w:val="24"/>
          <w:szCs w:val="24"/>
          <w:lang w:val="ru-RU"/>
        </w:rPr>
        <w:t>Качество поставляемой Продукции должно соответствовать действующим ФЗ, ГОСТам, ТУ, НТД, подтверждаться сертификатом качества.</w:t>
      </w:r>
    </w:p>
    <w:p w:rsidR="001B0B14" w:rsidRDefault="007E7435">
      <w:pPr>
        <w:pStyle w:val="a5"/>
        <w:numPr>
          <w:ilvl w:val="1"/>
          <w:numId w:val="1"/>
        </w:numPr>
        <w:tabs>
          <w:tab w:val="left" w:pos="284"/>
          <w:tab w:val="left" w:pos="1134"/>
        </w:tabs>
        <w:spacing w:after="240"/>
        <w:ind w:firstLine="567"/>
        <w:rPr>
          <w:color w:val="000000" w:themeColor="text1"/>
          <w:sz w:val="24"/>
          <w:szCs w:val="24"/>
          <w:lang w:val="ru-RU"/>
        </w:rPr>
      </w:pPr>
      <w:r>
        <w:rPr>
          <w:color w:val="000000" w:themeColor="text1"/>
          <w:sz w:val="24"/>
          <w:szCs w:val="24"/>
          <w:lang w:val="ru-RU"/>
        </w:rPr>
        <w:t>Поставляемая Продукция должна быть новая (изготовленная не ранее 2023 года) и ранее не использованная, сертифицированная для работы на территории Российской Федерации, иметь гарантию изготовителя на срок не менее 2 лет и действующий срок службы не менее 10 лет с момента ввода в эксплуатацию. Продукция, страной происхождения которой не является Российская Федерация, должна иметь действительный EAC сертификат или декларацию соответствия требованиям регламентов таможенного союза. Поставляемый товар должен быть изготовлен и испытан в полном соответствии с техническими условиями, Российскими стандартами.</w:t>
      </w:r>
    </w:p>
    <w:p w:rsidR="001B0B14" w:rsidRDefault="007E7435">
      <w:pPr>
        <w:pStyle w:val="a5"/>
        <w:numPr>
          <w:ilvl w:val="1"/>
          <w:numId w:val="1"/>
        </w:numPr>
        <w:tabs>
          <w:tab w:val="left" w:pos="284"/>
          <w:tab w:val="left" w:pos="1134"/>
        </w:tabs>
        <w:spacing w:after="240"/>
        <w:ind w:firstLine="567"/>
        <w:rPr>
          <w:color w:val="000000" w:themeColor="text1"/>
          <w:sz w:val="24"/>
          <w:szCs w:val="24"/>
          <w:lang w:val="ru-RU"/>
        </w:rPr>
      </w:pPr>
      <w:r>
        <w:rPr>
          <w:color w:val="000000" w:themeColor="text1"/>
          <w:sz w:val="24"/>
          <w:szCs w:val="24"/>
          <w:lang w:val="ru-RU"/>
        </w:rPr>
        <w:t>Поставляемая Продукция должна иметь индивидуальную маркировку в соответствии с требованием ГОСТ 18620-86.</w:t>
      </w:r>
    </w:p>
    <w:p w:rsidR="001B0B14" w:rsidRDefault="007E7435">
      <w:pPr>
        <w:pStyle w:val="a5"/>
        <w:numPr>
          <w:ilvl w:val="1"/>
          <w:numId w:val="1"/>
        </w:numPr>
        <w:tabs>
          <w:tab w:val="left" w:pos="284"/>
          <w:tab w:val="left" w:pos="1134"/>
        </w:tabs>
        <w:spacing w:after="240"/>
        <w:ind w:firstLine="567"/>
        <w:rPr>
          <w:color w:val="000000" w:themeColor="text1"/>
          <w:sz w:val="24"/>
          <w:szCs w:val="24"/>
          <w:lang w:val="ru-RU"/>
        </w:rPr>
      </w:pPr>
      <w:r>
        <w:rPr>
          <w:color w:val="000000" w:themeColor="text1"/>
          <w:sz w:val="24"/>
          <w:szCs w:val="24"/>
          <w:lang w:val="ru-RU"/>
        </w:rPr>
        <w:t>Конструкция зарядной станции и система контроля доступа к ней должны полностью исключить возможность контакта пользователя с токоведущими частями.</w:t>
      </w:r>
    </w:p>
    <w:p w:rsidR="001B0B14" w:rsidRDefault="007E7435">
      <w:pPr>
        <w:pStyle w:val="a5"/>
        <w:numPr>
          <w:ilvl w:val="1"/>
          <w:numId w:val="1"/>
        </w:numPr>
        <w:tabs>
          <w:tab w:val="left" w:pos="284"/>
          <w:tab w:val="left" w:pos="1134"/>
        </w:tabs>
        <w:spacing w:after="240"/>
        <w:ind w:firstLine="567"/>
        <w:rPr>
          <w:color w:val="000000" w:themeColor="text1"/>
          <w:sz w:val="24"/>
          <w:szCs w:val="24"/>
          <w:lang w:val="ru-RU"/>
        </w:rPr>
      </w:pPr>
      <w:r>
        <w:rPr>
          <w:color w:val="000000" w:themeColor="text1"/>
          <w:sz w:val="24"/>
          <w:szCs w:val="24"/>
          <w:lang w:val="ru-RU"/>
        </w:rPr>
        <w:t>Продукция должна обеспечивать возможность удаленного доступа: управление, сервисное обслуживание, сбор данных.</w:t>
      </w:r>
    </w:p>
    <w:p w:rsidR="001B0B14" w:rsidRDefault="007E7435">
      <w:pPr>
        <w:pStyle w:val="a5"/>
        <w:numPr>
          <w:ilvl w:val="1"/>
          <w:numId w:val="1"/>
        </w:numPr>
        <w:tabs>
          <w:tab w:val="left" w:pos="284"/>
          <w:tab w:val="left" w:pos="1134"/>
        </w:tabs>
        <w:spacing w:after="240"/>
        <w:ind w:firstLine="567"/>
        <w:rPr>
          <w:color w:val="000000" w:themeColor="text1"/>
          <w:sz w:val="24"/>
          <w:szCs w:val="24"/>
          <w:lang w:val="ru-RU"/>
        </w:rPr>
      </w:pPr>
      <w:r>
        <w:rPr>
          <w:color w:val="000000" w:themeColor="text1"/>
          <w:sz w:val="24"/>
          <w:szCs w:val="24"/>
        </w:rPr>
        <w:t xml:space="preserve">Грузополучатель и </w:t>
      </w:r>
      <w:r>
        <w:rPr>
          <w:color w:val="000000" w:themeColor="text1"/>
          <w:sz w:val="24"/>
          <w:szCs w:val="24"/>
          <w:lang w:val="ru-RU"/>
        </w:rPr>
        <w:t xml:space="preserve">объем </w:t>
      </w:r>
      <w:r>
        <w:rPr>
          <w:color w:val="000000" w:themeColor="text1"/>
          <w:sz w:val="24"/>
          <w:szCs w:val="24"/>
        </w:rPr>
        <w:t xml:space="preserve">поставки </w:t>
      </w:r>
      <w:r>
        <w:rPr>
          <w:color w:val="000000" w:themeColor="text1"/>
          <w:sz w:val="24"/>
          <w:szCs w:val="24"/>
          <w:lang w:val="ru-RU"/>
        </w:rPr>
        <w:t xml:space="preserve">Продукции </w:t>
      </w:r>
      <w:r>
        <w:rPr>
          <w:color w:val="000000" w:themeColor="text1"/>
          <w:sz w:val="24"/>
          <w:szCs w:val="24"/>
        </w:rPr>
        <w:t>указан в таблице 1.</w:t>
      </w:r>
    </w:p>
    <w:p w:rsidR="001B0B14" w:rsidRDefault="001B0B14"/>
    <w:p w:rsidR="001B0B14" w:rsidRDefault="007E7435">
      <w:pPr>
        <w:pStyle w:val="2"/>
        <w:spacing w:line="240" w:lineRule="auto"/>
        <w:ind w:firstLine="567"/>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Таблица 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851"/>
        <w:gridCol w:w="709"/>
        <w:gridCol w:w="2127"/>
        <w:gridCol w:w="2125"/>
      </w:tblGrid>
      <w:tr w:rsidR="001B0B14">
        <w:trPr>
          <w:trHeight w:val="53"/>
        </w:trPr>
        <w:tc>
          <w:tcPr>
            <w:tcW w:w="3114" w:type="dxa"/>
            <w:vMerge w:val="restart"/>
            <w:shd w:val="clear" w:color="000000" w:fill="FFFFFF"/>
            <w:vAlign w:val="center"/>
            <w:hideMark/>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Наименование продукции</w:t>
            </w:r>
          </w:p>
        </w:tc>
        <w:tc>
          <w:tcPr>
            <w:tcW w:w="992" w:type="dxa"/>
            <w:vMerge w:val="restart"/>
            <w:shd w:val="clear" w:color="000000" w:fill="FFFFFF"/>
            <w:vAlign w:val="center"/>
            <w:hideMark/>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Ед. изм.</w:t>
            </w:r>
          </w:p>
        </w:tc>
        <w:tc>
          <w:tcPr>
            <w:tcW w:w="851" w:type="dxa"/>
            <w:vMerge w:val="restart"/>
            <w:shd w:val="clear" w:color="000000" w:fill="FFFFFF"/>
            <w:vAlign w:val="center"/>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Кол-во всего</w:t>
            </w:r>
          </w:p>
        </w:tc>
        <w:tc>
          <w:tcPr>
            <w:tcW w:w="4961" w:type="dxa"/>
            <w:gridSpan w:val="3"/>
            <w:shd w:val="clear" w:color="000000" w:fill="FFFFFF"/>
            <w:vAlign w:val="center"/>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В том числе</w:t>
            </w:r>
          </w:p>
        </w:tc>
      </w:tr>
      <w:tr w:rsidR="001B0B14">
        <w:trPr>
          <w:trHeight w:val="53"/>
        </w:trPr>
        <w:tc>
          <w:tcPr>
            <w:tcW w:w="3114" w:type="dxa"/>
            <w:vMerge/>
            <w:shd w:val="clear" w:color="000000" w:fill="FFFFFF"/>
            <w:vAlign w:val="center"/>
          </w:tcPr>
          <w:p w:rsidR="001B0B14" w:rsidRDefault="001B0B14">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p>
        </w:tc>
        <w:tc>
          <w:tcPr>
            <w:tcW w:w="992" w:type="dxa"/>
            <w:vMerge/>
            <w:shd w:val="clear" w:color="000000" w:fill="FFFFFF"/>
            <w:vAlign w:val="center"/>
          </w:tcPr>
          <w:p w:rsidR="001B0B14" w:rsidRDefault="001B0B14">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p>
        </w:tc>
        <w:tc>
          <w:tcPr>
            <w:tcW w:w="851" w:type="dxa"/>
            <w:vMerge/>
            <w:shd w:val="clear" w:color="000000" w:fill="FFFFFF"/>
            <w:vAlign w:val="center"/>
          </w:tcPr>
          <w:p w:rsidR="001B0B14" w:rsidRDefault="001B0B14">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p>
        </w:tc>
        <w:tc>
          <w:tcPr>
            <w:tcW w:w="709" w:type="dxa"/>
            <w:shd w:val="clear" w:color="000000" w:fill="FFFFFF"/>
            <w:vAlign w:val="center"/>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Кол-во</w:t>
            </w:r>
          </w:p>
        </w:tc>
        <w:tc>
          <w:tcPr>
            <w:tcW w:w="2127" w:type="dxa"/>
            <w:shd w:val="clear" w:color="000000" w:fill="FFFFFF"/>
            <w:vAlign w:val="center"/>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Грузополучатель</w:t>
            </w:r>
          </w:p>
        </w:tc>
        <w:tc>
          <w:tcPr>
            <w:tcW w:w="2125" w:type="dxa"/>
            <w:shd w:val="clear" w:color="000000" w:fill="FFFFFF"/>
            <w:vAlign w:val="center"/>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Адрес поставки</w:t>
            </w:r>
          </w:p>
        </w:tc>
      </w:tr>
      <w:tr w:rsidR="001B0B14">
        <w:trPr>
          <w:trHeight w:val="1194"/>
        </w:trPr>
        <w:tc>
          <w:tcPr>
            <w:tcW w:w="3114" w:type="dxa"/>
            <w:shd w:val="clear" w:color="auto" w:fill="auto"/>
            <w:vAlign w:val="center"/>
          </w:tcPr>
          <w:p w:rsidR="001B0B14" w:rsidRDefault="007E7435">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color w:val="000000" w:themeColor="text1"/>
              </w:rPr>
            </w:pPr>
            <w:r>
              <w:rPr>
                <w:rFonts w:ascii="Times New Roman" w:hAnsi="Times New Roman" w:cs="Times New Roman"/>
                <w:bCs/>
                <w:color w:val="000000" w:themeColor="text1"/>
                <w:lang w:eastAsia="ar-SA"/>
              </w:rPr>
              <w:t xml:space="preserve">Зарядная станция постоянного тока типа Mode 4 для зарядки аккумуляторного электротранспорта в комплекте: с кабелем-переходником, с установленным программным обеспечением, программной и </w:t>
            </w:r>
            <w:r>
              <w:rPr>
                <w:rFonts w:ascii="Times New Roman" w:hAnsi="Times New Roman" w:cs="Times New Roman"/>
                <w:bCs/>
                <w:color w:val="000000" w:themeColor="text1"/>
                <w:lang w:eastAsia="ar-SA"/>
              </w:rPr>
              <w:lastRenderedPageBreak/>
              <w:t>аппаратной частью для подключения к ЭЗС аккумуляторного электротранспорта, защитным козырьком и уличным освещением (с возможностью замены лампы и световым потоком 10 лм) в комплекте со светодиодным светильником, датчиком освещённости и IP камеры видеонаблюдения с поддержкой протокола RTSP (включая наладку оборудования), с сопутствующей документацией</w:t>
            </w:r>
          </w:p>
        </w:tc>
        <w:tc>
          <w:tcPr>
            <w:tcW w:w="992" w:type="dxa"/>
            <w:shd w:val="clear" w:color="auto" w:fill="auto"/>
            <w:noWrap/>
            <w:vAlign w:val="center"/>
          </w:tcPr>
          <w:p w:rsidR="001B0B14" w:rsidRDefault="007E7435">
            <w:pPr>
              <w:widowControl w:val="0"/>
              <w:shd w:val="clear" w:color="auto" w:fill="FFFFFF"/>
              <w:tabs>
                <w:tab w:val="left" w:pos="284"/>
              </w:tabs>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bCs/>
                <w:color w:val="000000" w:themeColor="text1"/>
                <w:lang w:eastAsia="ar-SA"/>
              </w:rPr>
              <w:lastRenderedPageBreak/>
              <w:t>комплект</w:t>
            </w:r>
          </w:p>
        </w:tc>
        <w:tc>
          <w:tcPr>
            <w:tcW w:w="851" w:type="dxa"/>
            <w:vAlign w:val="center"/>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09" w:type="dxa"/>
            <w:shd w:val="clear" w:color="auto" w:fill="auto"/>
            <w:noWrap/>
            <w:vAlign w:val="center"/>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127" w:type="dxa"/>
            <w:vAlign w:val="center"/>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АО «Энергосервис Волги»</w:t>
            </w:r>
          </w:p>
        </w:tc>
        <w:tc>
          <w:tcPr>
            <w:tcW w:w="2125" w:type="dxa"/>
            <w:shd w:val="clear" w:color="000000" w:fill="FFFFFF"/>
            <w:vAlign w:val="center"/>
          </w:tcPr>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Саратовская область, </w:t>
            </w:r>
          </w:p>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г. Саратов, </w:t>
            </w:r>
          </w:p>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ул. Новоузенская, </w:t>
            </w:r>
          </w:p>
          <w:p w:rsidR="001B0B14" w:rsidRDefault="007E7435">
            <w:pPr>
              <w:widowControl w:val="0"/>
              <w:shd w:val="clear" w:color="auto" w:fill="FFFFFF"/>
              <w:tabs>
                <w:tab w:val="left" w:pos="284"/>
              </w:tabs>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22</w:t>
            </w:r>
          </w:p>
        </w:tc>
      </w:tr>
    </w:tbl>
    <w:p w:rsidR="001B0B14" w:rsidRDefault="007E7435">
      <w:pPr>
        <w:keepNext/>
        <w:keepLines/>
        <w:tabs>
          <w:tab w:val="left" w:pos="567"/>
        </w:tabs>
        <w:spacing w:after="0" w:line="240" w:lineRule="auto"/>
        <w:jc w:val="both"/>
        <w:outlineLvl w:val="0"/>
        <w:rPr>
          <w:rFonts w:ascii="Times New Roman" w:hAnsi="Times New Roman" w:cs="Times New Roman"/>
          <w:b/>
          <w:bCs/>
          <w:color w:val="FF0000"/>
          <w:sz w:val="18"/>
          <w:szCs w:val="24"/>
        </w:rPr>
      </w:pPr>
      <w:r>
        <w:rPr>
          <w:rFonts w:ascii="Times New Roman" w:hAnsi="Times New Roman" w:cs="Times New Roman"/>
          <w:color w:val="FF0000"/>
          <w:szCs w:val="32"/>
        </w:rPr>
        <w:t>Примечание: Заказчик оставляет за собой право изменить адрес поставки и место установки ЭЗС, о чем дополнительно будет оповещен Исполнитель в срок не позднее 20 рабочих дней до даты поставки</w:t>
      </w:r>
    </w:p>
    <w:p w:rsidR="001B0B14" w:rsidRDefault="007E7435">
      <w:pPr>
        <w:pStyle w:val="1"/>
        <w:numPr>
          <w:ilvl w:val="0"/>
          <w:numId w:val="1"/>
        </w:numPr>
        <w:tabs>
          <w:tab w:val="left" w:pos="1134"/>
        </w:tabs>
        <w:spacing w:line="240" w:lineRule="auto"/>
        <w:ind w:firstLine="567"/>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Сроки поставки </w:t>
      </w:r>
      <w:r>
        <w:rPr>
          <w:rFonts w:ascii="Times New Roman" w:hAnsi="Times New Roman" w:cs="Times New Roman"/>
          <w:b/>
          <w:color w:val="000000" w:themeColor="text1"/>
          <w:sz w:val="24"/>
          <w:szCs w:val="24"/>
        </w:rPr>
        <w:t xml:space="preserve"> </w:t>
      </w:r>
    </w:p>
    <w:p w:rsidR="001B0B14" w:rsidRDefault="007E7435">
      <w:pPr>
        <w:pStyle w:val="a3"/>
        <w:numPr>
          <w:ilvl w:val="1"/>
          <w:numId w:val="3"/>
        </w:numPr>
        <w:tabs>
          <w:tab w:val="left" w:pos="1134"/>
        </w:tabs>
        <w:ind w:left="0" w:firstLine="567"/>
        <w:jc w:val="both"/>
        <w:rPr>
          <w:color w:val="000000" w:themeColor="text1"/>
          <w:sz w:val="24"/>
          <w:szCs w:val="24"/>
        </w:rPr>
      </w:pPr>
      <w:r>
        <w:rPr>
          <w:color w:val="000000" w:themeColor="text1"/>
          <w:sz w:val="24"/>
          <w:szCs w:val="24"/>
        </w:rPr>
        <w:t xml:space="preserve">Срок согласования внешнего вида ЭЗС оформление парковочного пространства, с дорожными знаками и разметкой, в течение </w:t>
      </w:r>
      <w:r>
        <w:rPr>
          <w:b/>
          <w:color w:val="000000" w:themeColor="text1"/>
          <w:sz w:val="24"/>
          <w:szCs w:val="24"/>
        </w:rPr>
        <w:t>30 (тридцати) календарных дней</w:t>
      </w:r>
      <w:r>
        <w:rPr>
          <w:color w:val="000000" w:themeColor="text1"/>
          <w:sz w:val="24"/>
          <w:szCs w:val="24"/>
        </w:rPr>
        <w:t xml:space="preserve"> с даты подписания договора поставки.</w:t>
      </w:r>
    </w:p>
    <w:p w:rsidR="001B0B14" w:rsidRDefault="007E7435">
      <w:pPr>
        <w:pStyle w:val="a3"/>
        <w:numPr>
          <w:ilvl w:val="1"/>
          <w:numId w:val="3"/>
        </w:numPr>
        <w:tabs>
          <w:tab w:val="left" w:pos="1134"/>
        </w:tabs>
        <w:ind w:left="0" w:firstLine="567"/>
        <w:jc w:val="both"/>
        <w:rPr>
          <w:color w:val="000000" w:themeColor="text1"/>
          <w:sz w:val="24"/>
          <w:szCs w:val="24"/>
        </w:rPr>
      </w:pPr>
      <w:r>
        <w:rPr>
          <w:color w:val="000000" w:themeColor="text1"/>
          <w:sz w:val="24"/>
          <w:szCs w:val="24"/>
        </w:rPr>
        <w:t xml:space="preserve">Срок поставки продукции в течение </w:t>
      </w:r>
      <w:r>
        <w:rPr>
          <w:b/>
          <w:color w:val="000000" w:themeColor="text1"/>
          <w:sz w:val="24"/>
          <w:szCs w:val="24"/>
        </w:rPr>
        <w:t>60 (шестьдесят) календарных дней</w:t>
      </w:r>
      <w:r>
        <w:rPr>
          <w:color w:val="000000" w:themeColor="text1"/>
          <w:sz w:val="24"/>
          <w:szCs w:val="24"/>
        </w:rPr>
        <w:t xml:space="preserve"> с даты подписания договора поставки.</w:t>
      </w:r>
    </w:p>
    <w:p w:rsidR="001B0B14" w:rsidRDefault="007E7435">
      <w:pPr>
        <w:pStyle w:val="1"/>
        <w:numPr>
          <w:ilvl w:val="0"/>
          <w:numId w:val="1"/>
        </w:numPr>
        <w:tabs>
          <w:tab w:val="left" w:pos="1134"/>
        </w:tabs>
        <w:spacing w:line="240" w:lineRule="auto"/>
        <w:ind w:firstLine="567"/>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Основные </w:t>
      </w:r>
      <w:r>
        <w:rPr>
          <w:rFonts w:ascii="Times New Roman" w:hAnsi="Times New Roman" w:cs="Times New Roman"/>
          <w:b/>
          <w:color w:val="000000" w:themeColor="text1"/>
          <w:sz w:val="24"/>
          <w:szCs w:val="24"/>
        </w:rPr>
        <w:t xml:space="preserve">требования к оборудованию комплекса зарядных станций </w:t>
      </w:r>
    </w:p>
    <w:p w:rsidR="001B0B14" w:rsidRDefault="007E7435">
      <w:pPr>
        <w:pStyle w:val="a3"/>
        <w:numPr>
          <w:ilvl w:val="1"/>
          <w:numId w:val="4"/>
        </w:numPr>
        <w:tabs>
          <w:tab w:val="left" w:pos="1134"/>
        </w:tabs>
        <w:ind w:left="0" w:firstLine="567"/>
        <w:jc w:val="both"/>
        <w:rPr>
          <w:color w:val="000000" w:themeColor="text1"/>
          <w:sz w:val="24"/>
          <w:szCs w:val="24"/>
        </w:rPr>
      </w:pPr>
      <w:r>
        <w:rPr>
          <w:color w:val="000000" w:themeColor="text1"/>
          <w:sz w:val="24"/>
          <w:szCs w:val="24"/>
        </w:rPr>
        <w:t>Основные требования к оборудованию зарядных станций в комплекте с терминалом для подключения электромобилей с установленным программным обеспечением указаны в таблице 2.</w:t>
      </w:r>
    </w:p>
    <w:p w:rsidR="001B0B14" w:rsidRDefault="007E7435">
      <w:pPr>
        <w:pStyle w:val="2"/>
        <w:spacing w:line="240" w:lineRule="auto"/>
        <w:ind w:firstLine="567"/>
        <w:jc w:val="right"/>
        <w:rPr>
          <w:rFonts w:ascii="Times New Roman" w:eastAsiaTheme="minorHAnsi" w:hAnsi="Times New Roman" w:cs="Times New Roman"/>
          <w:b/>
          <w:color w:val="000000" w:themeColor="text1"/>
          <w:sz w:val="24"/>
          <w:szCs w:val="24"/>
        </w:rPr>
      </w:pPr>
      <w:r>
        <w:rPr>
          <w:rFonts w:ascii="Times New Roman" w:eastAsiaTheme="minorHAnsi" w:hAnsi="Times New Roman" w:cs="Times New Roman"/>
          <w:b/>
          <w:color w:val="000000" w:themeColor="text1"/>
          <w:sz w:val="24"/>
          <w:szCs w:val="24"/>
        </w:rPr>
        <w:t>Таблица 2</w:t>
      </w:r>
    </w:p>
    <w:tbl>
      <w:tblPr>
        <w:tblStyle w:val="ab"/>
        <w:tblW w:w="9919" w:type="dxa"/>
        <w:tblLook w:val="04A0" w:firstRow="1" w:lastRow="0" w:firstColumn="1" w:lastColumn="0" w:noHBand="0" w:noVBand="1"/>
      </w:tblPr>
      <w:tblGrid>
        <w:gridCol w:w="756"/>
        <w:gridCol w:w="5193"/>
        <w:gridCol w:w="2126"/>
        <w:gridCol w:w="1844"/>
      </w:tblGrid>
      <w:tr w:rsidR="001B0B14">
        <w:trPr>
          <w:trHeight w:val="330"/>
          <w:tblHeader/>
        </w:trPr>
        <w:tc>
          <w:tcPr>
            <w:tcW w:w="756" w:type="dxa"/>
            <w:vMerge w:val="restart"/>
            <w:vAlign w:val="center"/>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w:t>
            </w:r>
          </w:p>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п/п</w:t>
            </w:r>
          </w:p>
        </w:tc>
        <w:tc>
          <w:tcPr>
            <w:tcW w:w="5193" w:type="dxa"/>
            <w:vMerge w:val="restart"/>
            <w:vAlign w:val="center"/>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Технические характеристики</w:t>
            </w:r>
          </w:p>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(наименование параметра)</w:t>
            </w:r>
          </w:p>
        </w:tc>
        <w:tc>
          <w:tcPr>
            <w:tcW w:w="3970" w:type="dxa"/>
            <w:gridSpan w:val="2"/>
            <w:vAlign w:val="center"/>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Значение параметра</w:t>
            </w:r>
          </w:p>
        </w:tc>
      </w:tr>
      <w:tr w:rsidR="001B0B14">
        <w:trPr>
          <w:trHeight w:val="330"/>
          <w:tblHeader/>
        </w:trPr>
        <w:tc>
          <w:tcPr>
            <w:tcW w:w="756" w:type="dxa"/>
            <w:vMerge/>
            <w:vAlign w:val="center"/>
            <w:hideMark/>
          </w:tcPr>
          <w:p w:rsidR="001B0B14" w:rsidRDefault="001B0B14">
            <w:pPr>
              <w:jc w:val="center"/>
              <w:rPr>
                <w:rFonts w:ascii="Times New Roman" w:hAnsi="Times New Roman" w:cs="Times New Roman"/>
                <w:b/>
                <w:bCs/>
                <w:sz w:val="24"/>
                <w:szCs w:val="24"/>
              </w:rPr>
            </w:pPr>
          </w:p>
        </w:tc>
        <w:tc>
          <w:tcPr>
            <w:tcW w:w="5193" w:type="dxa"/>
            <w:vMerge/>
            <w:vAlign w:val="center"/>
            <w:hideMark/>
          </w:tcPr>
          <w:p w:rsidR="001B0B14" w:rsidRDefault="001B0B14">
            <w:pPr>
              <w:jc w:val="center"/>
              <w:rPr>
                <w:rFonts w:ascii="Times New Roman" w:hAnsi="Times New Roman" w:cs="Times New Roman"/>
                <w:b/>
                <w:bCs/>
                <w:sz w:val="24"/>
                <w:szCs w:val="24"/>
              </w:rPr>
            </w:pPr>
          </w:p>
        </w:tc>
        <w:tc>
          <w:tcPr>
            <w:tcW w:w="2126" w:type="dxa"/>
            <w:vAlign w:val="center"/>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Требуемое</w:t>
            </w:r>
          </w:p>
        </w:tc>
        <w:tc>
          <w:tcPr>
            <w:tcW w:w="1844" w:type="dxa"/>
            <w:vAlign w:val="center"/>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предлагаемое участником</w:t>
            </w:r>
          </w:p>
        </w:tc>
      </w:tr>
      <w:tr w:rsidR="001B0B14">
        <w:trPr>
          <w:trHeight w:val="54"/>
          <w:tblHeader/>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5193"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12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844"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1B0B14">
        <w:trPr>
          <w:trHeight w:val="330"/>
        </w:trPr>
        <w:tc>
          <w:tcPr>
            <w:tcW w:w="756" w:type="dxa"/>
            <w:hideMark/>
          </w:tcPr>
          <w:p w:rsidR="001B0B14" w:rsidRDefault="007E7435">
            <w:pPr>
              <w:jc w:val="center"/>
              <w:rPr>
                <w:rFonts w:ascii="Times New Roman" w:hAnsi="Times New Roman" w:cs="Times New Roman"/>
                <w:b/>
                <w:sz w:val="24"/>
                <w:szCs w:val="24"/>
              </w:rPr>
            </w:pPr>
            <w:r>
              <w:rPr>
                <w:rFonts w:ascii="Times New Roman" w:hAnsi="Times New Roman" w:cs="Times New Roman"/>
                <w:b/>
                <w:bCs/>
                <w:sz w:val="24"/>
                <w:szCs w:val="24"/>
              </w:rPr>
              <w:t>1.</w:t>
            </w:r>
          </w:p>
        </w:tc>
        <w:tc>
          <w:tcPr>
            <w:tcW w:w="9163" w:type="dxa"/>
            <w:gridSpan w:val="3"/>
            <w:hideMark/>
          </w:tcPr>
          <w:p w:rsidR="001B0B14" w:rsidRDefault="007E7435">
            <w:pPr>
              <w:rPr>
                <w:rFonts w:ascii="Times New Roman" w:hAnsi="Times New Roman" w:cs="Times New Roman"/>
                <w:b/>
                <w:bCs/>
                <w:sz w:val="24"/>
                <w:szCs w:val="24"/>
              </w:rPr>
            </w:pPr>
            <w:r>
              <w:rPr>
                <w:rFonts w:ascii="Times New Roman" w:hAnsi="Times New Roman" w:cs="Times New Roman"/>
                <w:b/>
                <w:bCs/>
                <w:sz w:val="24"/>
                <w:szCs w:val="24"/>
              </w:rPr>
              <w:t>Основные параметры</w:t>
            </w: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1.1</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Тип ЭЗС</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постоянного тока (DC)</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1.2</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 xml:space="preserve">Соответствие стандартам CHAdeMO версии </w:t>
            </w:r>
          </w:p>
          <w:p w:rsidR="001B0B14" w:rsidRDefault="007E7435">
            <w:pPr>
              <w:jc w:val="both"/>
              <w:rPr>
                <w:rFonts w:ascii="Times New Roman" w:hAnsi="Times New Roman" w:cs="Times New Roman"/>
                <w:sz w:val="24"/>
                <w:szCs w:val="24"/>
              </w:rPr>
            </w:pPr>
            <w:r>
              <w:rPr>
                <w:rFonts w:ascii="Times New Roman" w:hAnsi="Times New Roman" w:cs="Times New Roman"/>
                <w:sz w:val="24"/>
                <w:szCs w:val="24"/>
              </w:rPr>
              <w:t xml:space="preserve">не ниже 1.2 и CCS версии не ниже 1.0 </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обязательно</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1.3</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Режим заряда по ГОСТ Р MЭK 61851-1-2013</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Mode 4</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1.4</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Номинальное входное напряжение, В</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380 переменного тока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1.5</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Пределы отклонения входного напряжения, %, не более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1.6</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Номинальная частота питающей сети, Гц</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54"/>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1.7</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Максимальная пиковая выходная мощность ЗС, кВт,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9163" w:type="dxa"/>
            <w:gridSpan w:val="3"/>
            <w:hideMark/>
          </w:tcPr>
          <w:p w:rsidR="001B0B14" w:rsidRDefault="007E7435">
            <w:pPr>
              <w:rPr>
                <w:rFonts w:ascii="Times New Roman" w:hAnsi="Times New Roman" w:cs="Times New Roman"/>
                <w:b/>
                <w:bCs/>
                <w:sz w:val="24"/>
                <w:szCs w:val="24"/>
              </w:rPr>
            </w:pPr>
            <w:r>
              <w:rPr>
                <w:rFonts w:ascii="Times New Roman" w:hAnsi="Times New Roman" w:cs="Times New Roman"/>
                <w:b/>
                <w:bCs/>
                <w:sz w:val="24"/>
                <w:szCs w:val="24"/>
              </w:rPr>
              <w:t>Требования к разъемам, кабелям и параметрам заряда</w:t>
            </w: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2.1</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Зарядный кабель с коннектором типа CHAdeMO (МЭК 62196-3 конфигурация AA), шт.,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2.1.1</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выходная пиковая мощность, кВт,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2.1.2</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максимальный ток кабеля, А,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200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2.1.3</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максимальное напряжение коннектора, В,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500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2.1.4</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длина кабеля с коннектором типа CHAdeMO, м,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2.2</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Зарядный кабель с коннектором типа CCS2 (МЭК 62196-3 конфигурация FF), шт.,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2.2.1</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выходная пиковая мощность, кВт,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2.2.2</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максимальный ток кабеля, А,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200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2.2.3</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максимальное напряжение коннектора, В,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1000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2.2.4</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длина кабеля с коннектором типа CCS2                (Combo 2), м,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2.3</w:t>
            </w:r>
          </w:p>
        </w:tc>
        <w:tc>
          <w:tcPr>
            <w:tcW w:w="5193" w:type="dxa"/>
            <w:vAlign w:val="center"/>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Наличие механического натяжителя для каждого зарядного кабеля (недопускается провис кабеля и его соприкосновения с землей в режиме ожидания)</w:t>
            </w:r>
          </w:p>
        </w:tc>
        <w:tc>
          <w:tcPr>
            <w:tcW w:w="2126" w:type="dxa"/>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2.4</w:t>
            </w:r>
          </w:p>
        </w:tc>
        <w:tc>
          <w:tcPr>
            <w:tcW w:w="5193" w:type="dxa"/>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Количество одновременно заряжаемых транспортных средств для одной ЗС, шт.,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2.5</w:t>
            </w:r>
          </w:p>
        </w:tc>
        <w:tc>
          <w:tcPr>
            <w:tcW w:w="5193" w:type="dxa"/>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Возможность увеличения выходной пиковой мощности по пп. 2.1.1. и 2.2.1 до 90 кВт без изменения комплектации оборудования за исключением преобразователей</w:t>
            </w:r>
          </w:p>
        </w:tc>
        <w:tc>
          <w:tcPr>
            <w:tcW w:w="2126" w:type="dxa"/>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9163" w:type="dxa"/>
            <w:gridSpan w:val="3"/>
            <w:hideMark/>
          </w:tcPr>
          <w:p w:rsidR="001B0B14" w:rsidRDefault="007E7435">
            <w:pPr>
              <w:rPr>
                <w:rFonts w:ascii="Times New Roman" w:hAnsi="Times New Roman" w:cs="Times New Roman"/>
                <w:sz w:val="24"/>
                <w:szCs w:val="24"/>
              </w:rPr>
            </w:pPr>
            <w:r>
              <w:rPr>
                <w:rFonts w:ascii="Times New Roman" w:hAnsi="Times New Roman" w:cs="Times New Roman"/>
                <w:b/>
                <w:bCs/>
                <w:sz w:val="24"/>
                <w:szCs w:val="24"/>
              </w:rPr>
              <w:t>Требования к исполнению</w:t>
            </w: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3.1</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Тип монтажа</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Напольный</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3.2</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Степень защиты корпуса,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IP54</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3.3</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Модульное исполнение силовых блоков с возможностью быстрой замены</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3.4</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Исполнение в едином корпусе,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121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3.5</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Индикации состояния зарядной станции</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 xml:space="preserve">Яркий светодиодный индикатор с режимами индикации состояния зарядной станции </w:t>
            </w:r>
          </w:p>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 xml:space="preserve">(1-готов, </w:t>
            </w:r>
          </w:p>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 xml:space="preserve">2-заряд, </w:t>
            </w:r>
          </w:p>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3-необходимо вмешательство – авария) отдельно для каждой зарядной линии</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3.6</w:t>
            </w:r>
          </w:p>
        </w:tc>
        <w:tc>
          <w:tcPr>
            <w:tcW w:w="5193" w:type="dxa"/>
            <w:vAlign w:val="center"/>
            <w:hideMark/>
          </w:tcPr>
          <w:p w:rsidR="001B0B14" w:rsidRDefault="007E7435">
            <w:pPr>
              <w:jc w:val="both"/>
              <w:rPr>
                <w:rFonts w:ascii="Times New Roman" w:hAnsi="Times New Roman" w:cs="Times New Roman"/>
                <w:bCs/>
                <w:sz w:val="24"/>
                <w:szCs w:val="24"/>
              </w:rPr>
            </w:pPr>
            <w:r>
              <w:rPr>
                <w:rFonts w:ascii="Times New Roman" w:hAnsi="Times New Roman" w:cs="Times New Roman"/>
                <w:bCs/>
                <w:sz w:val="24"/>
                <w:szCs w:val="24"/>
              </w:rPr>
              <w:t>Материал корпуса (обязан иметь коррозионностойкое покрытие)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Несущий каркас - сталь или алюминий, внешние панели в соответствии с Приложением 1 к Техническому заданию</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1275"/>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3.7</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Зарядные станции должны быть оформлены в едином фирменном стиле ПАО «Россети». Внешний вид продукта должен соответствовать прилагаемому в Приложении 1 к Техническому заданию</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Обязательно</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3.8</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Защита от механического воздействия</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IK10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3.9</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 xml:space="preserve">Наличие встроенного акселерометра, (да/нет) </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3.10</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Блокировка доступа к токопроводящим контактам с помощью замка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471"/>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3.11</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Подвод силового питающего кабеля снизу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9163" w:type="dxa"/>
            <w:gridSpan w:val="3"/>
            <w:hideMark/>
          </w:tcPr>
          <w:p w:rsidR="001B0B14" w:rsidRDefault="007E7435">
            <w:pPr>
              <w:rPr>
                <w:rFonts w:ascii="Times New Roman" w:hAnsi="Times New Roman" w:cs="Times New Roman"/>
                <w:b/>
                <w:bCs/>
                <w:sz w:val="24"/>
                <w:szCs w:val="24"/>
              </w:rPr>
            </w:pPr>
            <w:r>
              <w:rPr>
                <w:rFonts w:ascii="Times New Roman" w:hAnsi="Times New Roman" w:cs="Times New Roman"/>
                <w:b/>
                <w:bCs/>
                <w:sz w:val="24"/>
                <w:szCs w:val="24"/>
              </w:rPr>
              <w:t>Функциональные требования</w:t>
            </w:r>
          </w:p>
        </w:tc>
      </w:tr>
      <w:tr w:rsidR="001B0B14">
        <w:trPr>
          <w:trHeight w:val="121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4.1</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Наличие функции ограничения (снижения) выходного зарядного тока относительно максимального значения по ТЗ.</w:t>
            </w:r>
          </w:p>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(Данная функция реализуется станцией совместно с системой контроля загрузки трансформатора. Система загрузки трансформатора осуществляет мониторинг мгновенного потребления энергии от трансформатора и рассчитывает доступную для ЗС мощность. Коммуникация между системой загрузки трансформатора и ЗС осуществляется по промышленным, проводным каналам связи (RS485, RS232 и прочие)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1656"/>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4.2</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Поддержка программного обеспечения производителем, в том числе дистанционное обновление микрокодов управляющих узлов ЭЗС для совместимости со всеми современными электромобилями на гарантийный период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4.3</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Наличие промышленного 3G\4G модема с WI-FI модулем для организации канала связи ЗС – сервер,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4.4</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Зарядные разъемы должны быть обесточены в момент подключения (за исключением напряжений безопасных для человека и предусмотренных стандартом (не более 15 В)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4.5</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Поддержка всех OCPP 2.0.1.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645"/>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4.6</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 xml:space="preserve">Наличие прибора учета </w:t>
            </w:r>
            <w:r>
              <w:rPr>
                <w:rFonts w:ascii="Times New Roman" w:hAnsi="Times New Roman" w:cs="Times New Roman"/>
                <w:bCs/>
                <w:sz w:val="24"/>
                <w:szCs w:val="24"/>
              </w:rPr>
              <w:t xml:space="preserve">суммарной потребленной станцией </w:t>
            </w:r>
            <w:r>
              <w:rPr>
                <w:rFonts w:ascii="Times New Roman" w:hAnsi="Times New Roman" w:cs="Times New Roman"/>
                <w:sz w:val="24"/>
                <w:szCs w:val="24"/>
              </w:rPr>
              <w:t>электроэнергии, соответствующего требованиям для коммерческого учёта, по ГОСТ 52320-2005 Часть 11 «Счетчики электрической энергии»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645"/>
        </w:trPr>
        <w:tc>
          <w:tcPr>
            <w:tcW w:w="756" w:type="dxa"/>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4.7</w:t>
            </w:r>
          </w:p>
        </w:tc>
        <w:tc>
          <w:tcPr>
            <w:tcW w:w="5193" w:type="dxa"/>
          </w:tcPr>
          <w:p w:rsidR="001B0B14" w:rsidRDefault="007E7435">
            <w:pPr>
              <w:jc w:val="both"/>
              <w:rPr>
                <w:rFonts w:ascii="Times New Roman" w:hAnsi="Times New Roman" w:cs="Times New Roman"/>
                <w:sz w:val="24"/>
                <w:szCs w:val="24"/>
              </w:rPr>
            </w:pPr>
            <w:r>
              <w:rPr>
                <w:rFonts w:ascii="Times New Roman" w:hAnsi="Times New Roman" w:cs="Times New Roman"/>
                <w:bCs/>
                <w:sz w:val="24"/>
                <w:szCs w:val="24"/>
              </w:rPr>
              <w:t>Показания приборов учета должны передаваться на сервер для учета и управления зарядной станцией по протоколу ОС</w:t>
            </w:r>
            <w:r>
              <w:rPr>
                <w:rFonts w:ascii="Times New Roman" w:hAnsi="Times New Roman" w:cs="Times New Roman"/>
                <w:bCs/>
                <w:sz w:val="24"/>
                <w:szCs w:val="24"/>
                <w:lang w:val="en-US"/>
              </w:rPr>
              <w:t>PP</w:t>
            </w:r>
            <w:r>
              <w:rPr>
                <w:rFonts w:ascii="Times New Roman" w:hAnsi="Times New Roman" w:cs="Times New Roman"/>
                <w:bCs/>
                <w:sz w:val="24"/>
                <w:szCs w:val="24"/>
              </w:rPr>
              <w:t xml:space="preserve"> (да/нет)</w:t>
            </w:r>
          </w:p>
        </w:tc>
        <w:tc>
          <w:tcPr>
            <w:tcW w:w="2126" w:type="dxa"/>
          </w:tcPr>
          <w:p w:rsidR="001B0B14" w:rsidRDefault="007E7435">
            <w:pPr>
              <w:jc w:val="center"/>
              <w:rPr>
                <w:rFonts w:ascii="Times New Roman" w:hAnsi="Times New Roman" w:cs="Times New Roman"/>
                <w:bCs/>
                <w:sz w:val="24"/>
                <w:szCs w:val="24"/>
              </w:rPr>
            </w:pPr>
            <w:r>
              <w:rPr>
                <w:rFonts w:ascii="Times New Roman" w:hAnsi="Times New Roman" w:cs="Times New Roman"/>
                <w:bCs/>
                <w:sz w:val="24"/>
                <w:szCs w:val="24"/>
              </w:rPr>
              <w:t>Да</w:t>
            </w:r>
          </w:p>
        </w:tc>
        <w:tc>
          <w:tcPr>
            <w:tcW w:w="1844" w:type="dxa"/>
          </w:tcPr>
          <w:p w:rsidR="001B0B14" w:rsidRDefault="001B0B14">
            <w:pPr>
              <w:jc w:val="center"/>
              <w:rPr>
                <w:rFonts w:ascii="Times New Roman" w:hAnsi="Times New Roman" w:cs="Times New Roman"/>
                <w:bCs/>
                <w:sz w:val="24"/>
                <w:szCs w:val="24"/>
              </w:rPr>
            </w:pPr>
          </w:p>
        </w:tc>
      </w:tr>
      <w:tr w:rsidR="001B0B14">
        <w:trPr>
          <w:trHeight w:val="645"/>
        </w:trPr>
        <w:tc>
          <w:tcPr>
            <w:tcW w:w="756" w:type="dxa"/>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4.8</w:t>
            </w:r>
          </w:p>
        </w:tc>
        <w:tc>
          <w:tcPr>
            <w:tcW w:w="5193" w:type="dxa"/>
          </w:tcPr>
          <w:p w:rsidR="001B0B14" w:rsidRDefault="007E7435">
            <w:pPr>
              <w:jc w:val="both"/>
              <w:rPr>
                <w:rFonts w:ascii="Times New Roman" w:hAnsi="Times New Roman" w:cs="Times New Roman"/>
                <w:sz w:val="24"/>
                <w:szCs w:val="24"/>
              </w:rPr>
            </w:pPr>
            <w:r>
              <w:rPr>
                <w:rFonts w:ascii="Times New Roman" w:hAnsi="Times New Roman" w:cs="Times New Roman"/>
                <w:bCs/>
                <w:sz w:val="24"/>
                <w:szCs w:val="24"/>
              </w:rPr>
              <w:t>Наличие приборов учета электроэнергии для каждого зарядного кабеля,</w:t>
            </w:r>
            <w:r>
              <w:rPr>
                <w:rFonts w:ascii="Times New Roman" w:hAnsi="Times New Roman" w:cs="Times New Roman"/>
                <w:sz w:val="24"/>
                <w:szCs w:val="24"/>
              </w:rPr>
              <w:t xml:space="preserve"> </w:t>
            </w:r>
            <w:r>
              <w:rPr>
                <w:rFonts w:ascii="Times New Roman" w:hAnsi="Times New Roman" w:cs="Times New Roman"/>
                <w:bCs/>
                <w:sz w:val="24"/>
                <w:szCs w:val="24"/>
              </w:rPr>
              <w:t>внесенных в реестр средств измерения в</w:t>
            </w:r>
            <w:r>
              <w:rPr>
                <w:rFonts w:ascii="Times New Roman" w:hAnsi="Times New Roman" w:cs="Times New Roman"/>
                <w:sz w:val="24"/>
                <w:szCs w:val="24"/>
              </w:rPr>
              <w:t xml:space="preserve"> ЕАЭС (да/нет)</w:t>
            </w:r>
          </w:p>
        </w:tc>
        <w:tc>
          <w:tcPr>
            <w:tcW w:w="2126" w:type="dxa"/>
          </w:tcPr>
          <w:p w:rsidR="001B0B14" w:rsidRDefault="007E7435">
            <w:pPr>
              <w:jc w:val="center"/>
              <w:rPr>
                <w:rFonts w:ascii="Times New Roman" w:hAnsi="Times New Roman" w:cs="Times New Roman"/>
                <w:bCs/>
                <w:sz w:val="24"/>
                <w:szCs w:val="24"/>
              </w:rPr>
            </w:pPr>
            <w:r>
              <w:rPr>
                <w:rFonts w:ascii="Times New Roman" w:hAnsi="Times New Roman" w:cs="Times New Roman"/>
                <w:bCs/>
                <w:sz w:val="24"/>
                <w:szCs w:val="24"/>
              </w:rPr>
              <w:t>Да</w:t>
            </w:r>
          </w:p>
        </w:tc>
        <w:tc>
          <w:tcPr>
            <w:tcW w:w="1844" w:type="dxa"/>
          </w:tcPr>
          <w:p w:rsidR="001B0B14" w:rsidRDefault="001B0B14">
            <w:pPr>
              <w:jc w:val="center"/>
              <w:rPr>
                <w:rFonts w:ascii="Times New Roman" w:hAnsi="Times New Roman" w:cs="Times New Roman"/>
                <w:bCs/>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9</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Аварийное прекращение зарядной сессии при фиксации акселерометром воздействия от 3g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7E7435">
            <w:pPr>
              <w:rPr>
                <w:rFonts w:ascii="Times New Roman" w:hAnsi="Times New Roman" w:cs="Times New Roman"/>
                <w:sz w:val="24"/>
                <w:szCs w:val="24"/>
              </w:rPr>
            </w:pPr>
            <w:r>
              <w:rPr>
                <w:rFonts w:ascii="Times New Roman" w:hAnsi="Times New Roman" w:cs="Times New Roman"/>
                <w:bCs/>
                <w:sz w:val="24"/>
                <w:szCs w:val="24"/>
              </w:rPr>
              <w:t> </w:t>
            </w:r>
          </w:p>
        </w:tc>
      </w:tr>
      <w:tr w:rsidR="001B0B14">
        <w:trPr>
          <w:trHeight w:val="330"/>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9163" w:type="dxa"/>
            <w:gridSpan w:val="3"/>
            <w:hideMark/>
          </w:tcPr>
          <w:p w:rsidR="001B0B14" w:rsidRDefault="007E7435">
            <w:pPr>
              <w:rPr>
                <w:rFonts w:ascii="Times New Roman" w:hAnsi="Times New Roman" w:cs="Times New Roman"/>
                <w:sz w:val="24"/>
                <w:szCs w:val="24"/>
              </w:rPr>
            </w:pPr>
            <w:r>
              <w:rPr>
                <w:rFonts w:ascii="Times New Roman" w:hAnsi="Times New Roman" w:cs="Times New Roman"/>
                <w:b/>
                <w:bCs/>
                <w:sz w:val="24"/>
                <w:szCs w:val="24"/>
              </w:rPr>
              <w:t>Требования к наличию отдельных устройств</w:t>
            </w:r>
          </w:p>
        </w:tc>
      </w:tr>
      <w:tr w:rsidR="001B0B14">
        <w:trPr>
          <w:trHeight w:val="896"/>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5.1</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Устройства защитного отключения по дифференциальному току для каждого зарядного пистолета, в соответствии ГОСТ Р МЭК 61851-1-2013</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Типа А с обнаружением утечки 30 мА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457"/>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5.2</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Защитный автоматический выключатель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719"/>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5.3</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Наличие модульного ограничителя перенапряжения на входе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5.4</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Наличие модульного ограничителя перенапряжения на выходе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104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5.5</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Датчик открывания технологического люка зарядной станции, останавливающий зарядную сессию при открытии люка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645"/>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bCs/>
                <w:sz w:val="24"/>
                <w:szCs w:val="24"/>
              </w:rPr>
              <w:t>5.6</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Розетка Schuko (220 В) внутри корпуса зарядной станции для выполнения сервисных операций, защищенная от несанкционированного доступа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9163" w:type="dxa"/>
            <w:gridSpan w:val="3"/>
            <w:hideMark/>
          </w:tcPr>
          <w:p w:rsidR="001B0B14" w:rsidRDefault="007E7435">
            <w:pPr>
              <w:rPr>
                <w:rFonts w:ascii="Times New Roman" w:hAnsi="Times New Roman" w:cs="Times New Roman"/>
                <w:b/>
                <w:bCs/>
                <w:sz w:val="24"/>
                <w:szCs w:val="24"/>
              </w:rPr>
            </w:pPr>
            <w:r>
              <w:rPr>
                <w:rFonts w:ascii="Times New Roman" w:hAnsi="Times New Roman" w:cs="Times New Roman"/>
                <w:b/>
                <w:bCs/>
                <w:sz w:val="24"/>
                <w:szCs w:val="24"/>
              </w:rPr>
              <w:t xml:space="preserve">Номинальные значения климатических факторов внешней среды по </w:t>
            </w:r>
          </w:p>
          <w:p w:rsidR="001B0B14" w:rsidRDefault="007E7435">
            <w:pPr>
              <w:rPr>
                <w:rFonts w:ascii="Times New Roman" w:hAnsi="Times New Roman" w:cs="Times New Roman"/>
                <w:sz w:val="24"/>
                <w:szCs w:val="24"/>
              </w:rPr>
            </w:pPr>
            <w:r>
              <w:rPr>
                <w:rFonts w:ascii="Times New Roman" w:hAnsi="Times New Roman" w:cs="Times New Roman"/>
                <w:b/>
                <w:bCs/>
                <w:sz w:val="24"/>
                <w:szCs w:val="24"/>
              </w:rPr>
              <w:t>ГОСТ 15150-69</w:t>
            </w: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6.1</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Верхнее рабочее значение рабочей температуры окружающего воздуха, °С</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+40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6.2</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Нижнее рабочее значение рабочей температуры окружающего воздуха, °С</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–30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6.3</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Высота установки над уровнем моря, м</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До 1000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6.4</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Допустимые параметры относительной влажности, %</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5 ÷ 90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9163" w:type="dxa"/>
            <w:gridSpan w:val="3"/>
            <w:hideMark/>
          </w:tcPr>
          <w:p w:rsidR="001B0B14" w:rsidRDefault="007E7435">
            <w:pPr>
              <w:rPr>
                <w:rFonts w:ascii="Times New Roman" w:hAnsi="Times New Roman" w:cs="Times New Roman"/>
                <w:sz w:val="24"/>
                <w:szCs w:val="24"/>
              </w:rPr>
            </w:pPr>
            <w:r>
              <w:rPr>
                <w:rFonts w:ascii="Times New Roman" w:hAnsi="Times New Roman" w:cs="Times New Roman"/>
                <w:b/>
                <w:bCs/>
                <w:sz w:val="24"/>
                <w:szCs w:val="24"/>
              </w:rPr>
              <w:t>Комплектность поставки</w:t>
            </w: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7.1</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Электрозарядная станция в максимальной заводской готовности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7.2</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Закладные детали для размещения в бетонном основании для монтажа станции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7.3</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Паспорт ЭЗС русском языке в соответствии с ГОСТ 2.610-2006 и ГОСТ 2.601-2013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7.4</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 xml:space="preserve">Руководство по эксплуатации ЭЗС (да/нет) </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7.5</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Руководство по монтажу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645"/>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7.6</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Сертификат соответствия продукции требованиям технологических регламентов Таможенного союза (ТР ТС) 020 и 004, с указанием в сертификате соответствия продукции ГОСТ Р 61851-1-2013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7.7</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Протоколы испытаний, указанные в сертификате подтверждающие заявленные характеристики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7.8</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Гарантийный талон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9163" w:type="dxa"/>
            <w:gridSpan w:val="3"/>
            <w:hideMark/>
          </w:tcPr>
          <w:p w:rsidR="001B0B14" w:rsidRDefault="007E7435">
            <w:pPr>
              <w:rPr>
                <w:rFonts w:ascii="Times New Roman" w:hAnsi="Times New Roman" w:cs="Times New Roman"/>
                <w:sz w:val="24"/>
                <w:szCs w:val="24"/>
              </w:rPr>
            </w:pPr>
            <w:r>
              <w:rPr>
                <w:rFonts w:ascii="Times New Roman" w:hAnsi="Times New Roman" w:cs="Times New Roman"/>
                <w:b/>
                <w:bCs/>
                <w:sz w:val="24"/>
                <w:szCs w:val="24"/>
              </w:rPr>
              <w:t>Требования по надежности</w:t>
            </w: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8.1</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Срок гарантийного обслуживания с момента ввода в эксплуатацию, месяцев,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24</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8.2</w:t>
            </w:r>
          </w:p>
        </w:tc>
        <w:tc>
          <w:tcPr>
            <w:tcW w:w="5193" w:type="dxa"/>
            <w:vAlign w:val="center"/>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Срок службы, лет, не менее</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10</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9163" w:type="dxa"/>
            <w:gridSpan w:val="3"/>
            <w:hideMark/>
          </w:tcPr>
          <w:p w:rsidR="001B0B14" w:rsidRDefault="007E7435">
            <w:pPr>
              <w:rPr>
                <w:rFonts w:ascii="Times New Roman" w:hAnsi="Times New Roman" w:cs="Times New Roman"/>
                <w:sz w:val="24"/>
                <w:szCs w:val="24"/>
              </w:rPr>
            </w:pPr>
            <w:r>
              <w:rPr>
                <w:rFonts w:ascii="Times New Roman" w:hAnsi="Times New Roman" w:cs="Times New Roman"/>
                <w:b/>
                <w:bCs/>
                <w:sz w:val="24"/>
                <w:szCs w:val="24"/>
              </w:rPr>
              <w:t>Маркировка, упаковка, транспортировка, условия хранения</w:t>
            </w: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9.1</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Маркировка, упаковка, консервация по ГОСТ 14192-96, ГОСТ 23216-78 и ГОСТ 15150-69,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1414"/>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9.2</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(да/нет)</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9163" w:type="dxa"/>
            <w:gridSpan w:val="3"/>
            <w:hideMark/>
          </w:tcPr>
          <w:p w:rsidR="001B0B14" w:rsidRDefault="007E7435">
            <w:pPr>
              <w:rPr>
                <w:rFonts w:ascii="Times New Roman" w:hAnsi="Times New Roman" w:cs="Times New Roman"/>
                <w:b/>
                <w:bCs/>
                <w:sz w:val="24"/>
                <w:szCs w:val="24"/>
              </w:rPr>
            </w:pPr>
            <w:r>
              <w:rPr>
                <w:rFonts w:ascii="Times New Roman" w:hAnsi="Times New Roman" w:cs="Times New Roman"/>
                <w:b/>
                <w:bCs/>
                <w:sz w:val="24"/>
                <w:szCs w:val="24"/>
              </w:rPr>
              <w:t>Приемка и шеф-монтажные работы</w:t>
            </w: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10.1</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Монтаж оборудования выполняется с участием шеф-инженера производителя</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10.2</w:t>
            </w:r>
          </w:p>
        </w:tc>
        <w:tc>
          <w:tcPr>
            <w:tcW w:w="5193" w:type="dxa"/>
            <w:hideMark/>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Шеф-монтажные и пуско-наладочные работы включены в стоимость оборудования</w:t>
            </w:r>
          </w:p>
        </w:tc>
        <w:tc>
          <w:tcPr>
            <w:tcW w:w="2126" w:type="dxa"/>
            <w:hideMark/>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hideMark/>
          </w:tcPr>
          <w:p w:rsidR="001B0B14" w:rsidRDefault="001B0B14">
            <w:pPr>
              <w:jc w:val="center"/>
              <w:rPr>
                <w:rFonts w:ascii="Times New Roman" w:hAnsi="Times New Roman" w:cs="Times New Roman"/>
                <w:sz w:val="24"/>
                <w:szCs w:val="24"/>
              </w:rPr>
            </w:pPr>
          </w:p>
        </w:tc>
      </w:tr>
      <w:tr w:rsidR="001B0B14">
        <w:trPr>
          <w:trHeight w:val="330"/>
        </w:trPr>
        <w:tc>
          <w:tcPr>
            <w:tcW w:w="756" w:type="dxa"/>
          </w:tcPr>
          <w:p w:rsidR="001B0B14" w:rsidRDefault="007E7435">
            <w:pPr>
              <w:jc w:val="center"/>
              <w:rPr>
                <w:rFonts w:ascii="Times New Roman" w:hAnsi="Times New Roman" w:cs="Times New Roman"/>
                <w:sz w:val="24"/>
                <w:szCs w:val="24"/>
                <w:lang w:val="en-US"/>
              </w:rPr>
            </w:pPr>
            <w:r>
              <w:rPr>
                <w:rFonts w:ascii="Times New Roman" w:hAnsi="Times New Roman" w:cs="Times New Roman"/>
                <w:sz w:val="24"/>
                <w:szCs w:val="24"/>
                <w:lang w:val="en-US"/>
              </w:rPr>
              <w:t>10.3</w:t>
            </w:r>
          </w:p>
        </w:tc>
        <w:tc>
          <w:tcPr>
            <w:tcW w:w="5193" w:type="dxa"/>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Приемка оборудования осуществляется согласно Приложению 5 к Техническому заданию «Программа и методика приемочных испытаний зарядных станций постоянного тока до 100 кВт»</w:t>
            </w:r>
          </w:p>
        </w:tc>
        <w:tc>
          <w:tcPr>
            <w:tcW w:w="2126" w:type="dxa"/>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tcPr>
          <w:p w:rsidR="001B0B14" w:rsidRDefault="001B0B14">
            <w:pPr>
              <w:jc w:val="center"/>
              <w:rPr>
                <w:rFonts w:ascii="Times New Roman" w:hAnsi="Times New Roman" w:cs="Times New Roman"/>
                <w:sz w:val="24"/>
                <w:szCs w:val="24"/>
              </w:rPr>
            </w:pPr>
          </w:p>
        </w:tc>
      </w:tr>
      <w:tr w:rsidR="001B0B14">
        <w:trPr>
          <w:trHeight w:val="330"/>
        </w:trPr>
        <w:tc>
          <w:tcPr>
            <w:tcW w:w="756" w:type="dxa"/>
            <w:vAlign w:val="center"/>
          </w:tcPr>
          <w:p w:rsidR="001B0B14" w:rsidRDefault="007E7435">
            <w:pPr>
              <w:jc w:val="center"/>
              <w:rPr>
                <w:rFonts w:ascii="Times New Roman" w:hAnsi="Times New Roman" w:cs="Times New Roman"/>
                <w:b/>
                <w:sz w:val="24"/>
                <w:szCs w:val="24"/>
              </w:rPr>
            </w:pPr>
            <w:r>
              <w:rPr>
                <w:rFonts w:ascii="Times New Roman" w:hAnsi="Times New Roman" w:cs="Times New Roman"/>
                <w:b/>
                <w:sz w:val="24"/>
                <w:szCs w:val="24"/>
              </w:rPr>
              <w:t>11.</w:t>
            </w:r>
          </w:p>
        </w:tc>
        <w:tc>
          <w:tcPr>
            <w:tcW w:w="9163" w:type="dxa"/>
            <w:gridSpan w:val="3"/>
          </w:tcPr>
          <w:p w:rsidR="001B0B14" w:rsidRDefault="007E7435">
            <w:pPr>
              <w:jc w:val="both"/>
              <w:rPr>
                <w:rFonts w:ascii="Times New Roman" w:hAnsi="Times New Roman" w:cs="Times New Roman"/>
                <w:b/>
                <w:sz w:val="24"/>
                <w:szCs w:val="24"/>
              </w:rPr>
            </w:pPr>
            <w:r>
              <w:rPr>
                <w:rFonts w:ascii="Times New Roman" w:hAnsi="Times New Roman" w:cs="Times New Roman"/>
                <w:b/>
                <w:sz w:val="24"/>
                <w:szCs w:val="24"/>
              </w:rPr>
              <w:t>Требования к программному обеспечению зарядной станции, поставляемому комплектно</w:t>
            </w:r>
          </w:p>
        </w:tc>
      </w:tr>
      <w:tr w:rsidR="001B0B14">
        <w:trPr>
          <w:trHeight w:val="330"/>
        </w:trPr>
        <w:tc>
          <w:tcPr>
            <w:tcW w:w="756" w:type="dxa"/>
            <w:vAlign w:val="center"/>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11.1.</w:t>
            </w:r>
          </w:p>
        </w:tc>
        <w:tc>
          <w:tcPr>
            <w:tcW w:w="5193" w:type="dxa"/>
          </w:tcPr>
          <w:p w:rsidR="001B0B14" w:rsidRDefault="007E743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Программное обеспечение зарядной станции, поставляемое комплектно со станцией, совместно с внешней управляющей системой должно как минимум, но не ограничиваясь обеспечивать, используя ОСРР версии 2.0.1. (JSON) и протокол WSS: </w:t>
            </w:r>
          </w:p>
          <w:p w:rsidR="001B0B14" w:rsidRDefault="007E7435">
            <w:pPr>
              <w:numPr>
                <w:ilvl w:val="0"/>
                <w:numId w:val="27"/>
              </w:numPr>
              <w:tabs>
                <w:tab w:val="left" w:pos="413"/>
              </w:tabs>
              <w:autoSpaceDE w:val="0"/>
              <w:autoSpaceDN w:val="0"/>
              <w:adjustRightInd w:val="0"/>
              <w:ind w:left="0" w:firstLine="0"/>
              <w:contextualSpacing/>
              <w:jc w:val="both"/>
              <w:rPr>
                <w:rFonts w:ascii="Times New Roman" w:hAnsi="Times New Roman" w:cs="Times New Roman"/>
                <w:sz w:val="24"/>
                <w:szCs w:val="24"/>
              </w:rPr>
            </w:pPr>
            <w:r>
              <w:rPr>
                <w:rFonts w:ascii="Times New Roman" w:hAnsi="Times New Roman" w:cs="Times New Roman"/>
                <w:sz w:val="24"/>
                <w:szCs w:val="24"/>
              </w:rPr>
              <w:t>возможность управления зарядной станций по отпуску заданного количества электроэнергии для зарядки электромобиля и/или лимита времени, заданному внешней управляющей системой, по достижению которого зарядная станция должна прекратить сессию заряда и разблокировать коннектор. В случае потери связи с управляющей системой, сбоя или отключения электроснабжения, зарядная станция должна обеспечить сохранение информации об объеме отпущенной электроэнергии, времени с последующей передачей информации в управляющую систему. Т.е. управляющая система должна иметь возможность передать для каждой сессии заряда максимальное количество кВт·ч и/или лимита времени, по достижению которого зарядная станции прекратит сессию заряда и известит об этом управляющую систему;</w:t>
            </w:r>
          </w:p>
          <w:p w:rsidR="001B0B14" w:rsidRDefault="007E7435">
            <w:pPr>
              <w:numPr>
                <w:ilvl w:val="0"/>
                <w:numId w:val="27"/>
              </w:numPr>
              <w:tabs>
                <w:tab w:val="left" w:pos="389"/>
              </w:tabs>
              <w:ind w:left="-12" w:firstLine="12"/>
              <w:contextualSpacing/>
              <w:jc w:val="both"/>
              <w:rPr>
                <w:rFonts w:ascii="Times New Roman" w:hAnsi="Times New Roman" w:cs="Times New Roman"/>
                <w:sz w:val="24"/>
                <w:szCs w:val="24"/>
              </w:rPr>
            </w:pPr>
            <w:r>
              <w:rPr>
                <w:rFonts w:ascii="Times New Roman" w:hAnsi="Times New Roman" w:cs="Times New Roman"/>
                <w:sz w:val="24"/>
                <w:szCs w:val="24"/>
              </w:rPr>
              <w:t>удаленную поддержку, специализированную диагностику по поиску неисправностей, удаленное обновление и модернизацию.</w:t>
            </w:r>
          </w:p>
        </w:tc>
        <w:tc>
          <w:tcPr>
            <w:tcW w:w="2126" w:type="dxa"/>
            <w:vAlign w:val="center"/>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tcPr>
          <w:p w:rsidR="001B0B14" w:rsidRDefault="001B0B14">
            <w:pPr>
              <w:rPr>
                <w:rFonts w:ascii="Times New Roman" w:hAnsi="Times New Roman" w:cs="Times New Roman"/>
                <w:sz w:val="24"/>
                <w:szCs w:val="24"/>
              </w:rPr>
            </w:pPr>
          </w:p>
        </w:tc>
      </w:tr>
      <w:tr w:rsidR="001B0B14">
        <w:trPr>
          <w:trHeight w:val="330"/>
        </w:trPr>
        <w:tc>
          <w:tcPr>
            <w:tcW w:w="756" w:type="dxa"/>
            <w:vAlign w:val="center"/>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11.2</w:t>
            </w:r>
          </w:p>
        </w:tc>
        <w:tc>
          <w:tcPr>
            <w:tcW w:w="5193" w:type="dxa"/>
          </w:tcPr>
          <w:p w:rsidR="001B0B14" w:rsidRDefault="007E7435">
            <w:pPr>
              <w:tabs>
                <w:tab w:val="left" w:pos="377"/>
              </w:tabs>
              <w:jc w:val="both"/>
              <w:rPr>
                <w:rFonts w:ascii="Times New Roman" w:hAnsi="Times New Roman" w:cs="Times New Roman"/>
                <w:sz w:val="24"/>
                <w:szCs w:val="24"/>
              </w:rPr>
            </w:pPr>
            <w:r>
              <w:rPr>
                <w:rFonts w:ascii="Times New Roman" w:hAnsi="Times New Roman" w:cs="Times New Roman"/>
                <w:sz w:val="24"/>
                <w:szCs w:val="24"/>
              </w:rPr>
              <w:t>Инструкция по локальному программированию ЭЗС, в том числе по локальному прямому подключению к ЭЗС опционально через Wi-Fi (при наличии), обязательно через Ethernet соединение, обязательно через сотовую сеть передачи данных к инженерному меню ЭЗС, в котором можно как минимум реализовывать следующие функции по управлению ЭЗС:</w:t>
            </w:r>
          </w:p>
          <w:p w:rsidR="001B0B14" w:rsidRDefault="007E7435">
            <w:pPr>
              <w:numPr>
                <w:ilvl w:val="0"/>
                <w:numId w:val="24"/>
              </w:numPr>
              <w:tabs>
                <w:tab w:val="left" w:pos="377"/>
              </w:tabs>
              <w:ind w:left="0" w:firstLine="0"/>
              <w:contextualSpacing/>
              <w:jc w:val="both"/>
              <w:rPr>
                <w:rFonts w:ascii="Times New Roman" w:hAnsi="Times New Roman" w:cs="Times New Roman"/>
                <w:sz w:val="24"/>
                <w:szCs w:val="24"/>
              </w:rPr>
            </w:pPr>
            <w:r>
              <w:rPr>
                <w:rFonts w:ascii="Times New Roman" w:hAnsi="Times New Roman" w:cs="Times New Roman"/>
                <w:sz w:val="24"/>
                <w:szCs w:val="24"/>
              </w:rPr>
              <w:t>устанавливать максимальные значения тока, напряжения и мощности заряда;</w:t>
            </w:r>
          </w:p>
          <w:p w:rsidR="001B0B14" w:rsidRDefault="007E7435">
            <w:pPr>
              <w:numPr>
                <w:ilvl w:val="0"/>
                <w:numId w:val="24"/>
              </w:numPr>
              <w:tabs>
                <w:tab w:val="left" w:pos="377"/>
              </w:tabs>
              <w:ind w:left="0" w:firstLine="0"/>
              <w:contextualSpacing/>
              <w:jc w:val="both"/>
              <w:rPr>
                <w:rFonts w:ascii="Times New Roman" w:hAnsi="Times New Roman" w:cs="Times New Roman"/>
                <w:sz w:val="24"/>
                <w:szCs w:val="24"/>
              </w:rPr>
            </w:pPr>
            <w:r>
              <w:rPr>
                <w:rFonts w:ascii="Times New Roman" w:hAnsi="Times New Roman" w:cs="Times New Roman"/>
                <w:sz w:val="24"/>
                <w:szCs w:val="24"/>
              </w:rPr>
              <w:t>изменять режим работы станции в режиме Plug&amp;Charge, в режиме управления OCPP, либо комбинированный режим (старт Plug&amp;Charge обеспечивается с помощью запуска с монитора, старт через OCPP обеспечивается через команду протокола OCPP);</w:t>
            </w:r>
          </w:p>
          <w:p w:rsidR="001B0B14" w:rsidRDefault="007E7435">
            <w:pPr>
              <w:numPr>
                <w:ilvl w:val="0"/>
                <w:numId w:val="24"/>
              </w:numPr>
              <w:tabs>
                <w:tab w:val="left" w:pos="377"/>
              </w:tabs>
              <w:ind w:left="0" w:firstLine="0"/>
              <w:contextualSpacing/>
              <w:jc w:val="both"/>
              <w:rPr>
                <w:rFonts w:ascii="Times New Roman" w:hAnsi="Times New Roman" w:cs="Times New Roman"/>
                <w:sz w:val="24"/>
                <w:szCs w:val="24"/>
              </w:rPr>
            </w:pPr>
            <w:r>
              <w:rPr>
                <w:rFonts w:ascii="Times New Roman" w:hAnsi="Times New Roman" w:cs="Times New Roman"/>
                <w:sz w:val="24"/>
                <w:szCs w:val="24"/>
              </w:rPr>
              <w:t>включать/выключать RFID считыватель;</w:t>
            </w:r>
          </w:p>
          <w:p w:rsidR="001B0B14" w:rsidRDefault="007E7435">
            <w:pPr>
              <w:numPr>
                <w:ilvl w:val="0"/>
                <w:numId w:val="24"/>
              </w:numPr>
              <w:tabs>
                <w:tab w:val="left" w:pos="377"/>
              </w:tabs>
              <w:ind w:left="0" w:firstLine="0"/>
              <w:contextualSpacing/>
              <w:jc w:val="both"/>
              <w:rPr>
                <w:rFonts w:ascii="Times New Roman" w:hAnsi="Times New Roman" w:cs="Times New Roman"/>
                <w:sz w:val="24"/>
                <w:szCs w:val="24"/>
              </w:rPr>
            </w:pPr>
            <w:r>
              <w:rPr>
                <w:rFonts w:ascii="Times New Roman" w:hAnsi="Times New Roman" w:cs="Times New Roman"/>
                <w:sz w:val="24"/>
                <w:szCs w:val="24"/>
              </w:rPr>
              <w:t>указывать адрес сервера OCPP, с которым может производить обмен данными ЭЗС напрямую без сторонних узлов.</w:t>
            </w:r>
          </w:p>
          <w:p w:rsidR="001B0B14" w:rsidRDefault="007E7435">
            <w:pPr>
              <w:tabs>
                <w:tab w:val="left" w:pos="377"/>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Доступ к инженерному меню должен быть защищён логином и паролем.</w:t>
            </w:r>
          </w:p>
        </w:tc>
        <w:tc>
          <w:tcPr>
            <w:tcW w:w="2126" w:type="dxa"/>
            <w:vAlign w:val="center"/>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tcPr>
          <w:p w:rsidR="001B0B14" w:rsidRDefault="001B0B14">
            <w:pPr>
              <w:jc w:val="center"/>
              <w:rPr>
                <w:rFonts w:ascii="Times New Roman" w:hAnsi="Times New Roman" w:cs="Times New Roman"/>
                <w:sz w:val="24"/>
                <w:szCs w:val="24"/>
              </w:rPr>
            </w:pPr>
          </w:p>
        </w:tc>
      </w:tr>
      <w:tr w:rsidR="001B0B14">
        <w:trPr>
          <w:trHeight w:val="330"/>
        </w:trPr>
        <w:tc>
          <w:tcPr>
            <w:tcW w:w="756" w:type="dxa"/>
            <w:vAlign w:val="center"/>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11.3</w:t>
            </w:r>
          </w:p>
        </w:tc>
        <w:tc>
          <w:tcPr>
            <w:tcW w:w="5193" w:type="dxa"/>
          </w:tcPr>
          <w:p w:rsidR="001B0B14" w:rsidRDefault="007E7435">
            <w:pPr>
              <w:jc w:val="both"/>
              <w:rPr>
                <w:rFonts w:ascii="Times New Roman" w:hAnsi="Times New Roman" w:cs="Times New Roman"/>
                <w:sz w:val="24"/>
                <w:szCs w:val="24"/>
              </w:rPr>
            </w:pPr>
            <w:r>
              <w:rPr>
                <w:rFonts w:ascii="Times New Roman" w:hAnsi="Times New Roman" w:cs="Times New Roman"/>
                <w:sz w:val="24"/>
                <w:szCs w:val="24"/>
              </w:rPr>
              <w:t>Поставщик обязан обеспечить интеграцию предлагаемых к поставке зарядных станций в зарядную инфраструктуру Заказчика (в программно-аппаратный комплекс, включающий бэк-офис, систему мониторинга, биллинговую систему) в объеме функционала не менее OCPP 1.6 Full или предоставить сертификат Open Charge Alliance OCPP 1.6 Full. Все возможные затраты, необходимые для интеграции поставляемой ЭЗС в зарядную инфраструктуру Заказчика, в случае некорректной реализации работы ЭЗС по ОСРР, Поставщик несет за свой счет.</w:t>
            </w:r>
          </w:p>
        </w:tc>
        <w:tc>
          <w:tcPr>
            <w:tcW w:w="2126" w:type="dxa"/>
            <w:vAlign w:val="center"/>
          </w:tcPr>
          <w:p w:rsidR="001B0B14" w:rsidRDefault="007E7435">
            <w:pPr>
              <w:jc w:val="center"/>
              <w:rPr>
                <w:rFonts w:ascii="Times New Roman" w:hAnsi="Times New Roman" w:cs="Times New Roman"/>
                <w:sz w:val="24"/>
                <w:szCs w:val="24"/>
              </w:rPr>
            </w:pPr>
            <w:r>
              <w:rPr>
                <w:rFonts w:ascii="Times New Roman" w:hAnsi="Times New Roman" w:cs="Times New Roman"/>
                <w:sz w:val="24"/>
                <w:szCs w:val="24"/>
              </w:rPr>
              <w:t>Да</w:t>
            </w:r>
          </w:p>
        </w:tc>
        <w:tc>
          <w:tcPr>
            <w:tcW w:w="1844" w:type="dxa"/>
          </w:tcPr>
          <w:p w:rsidR="001B0B14" w:rsidRDefault="001B0B14">
            <w:pPr>
              <w:jc w:val="center"/>
              <w:rPr>
                <w:rFonts w:ascii="Times New Roman" w:hAnsi="Times New Roman" w:cs="Times New Roman"/>
                <w:sz w:val="24"/>
                <w:szCs w:val="24"/>
              </w:rPr>
            </w:pPr>
          </w:p>
        </w:tc>
      </w:tr>
    </w:tbl>
    <w:p w:rsidR="001B0B14" w:rsidRDefault="001B0B14"/>
    <w:p w:rsidR="001B0B14" w:rsidRDefault="007E7435">
      <w:pPr>
        <w:pStyle w:val="1"/>
        <w:numPr>
          <w:ilvl w:val="0"/>
          <w:numId w:val="1"/>
        </w:numPr>
        <w:tabs>
          <w:tab w:val="left" w:pos="1134"/>
        </w:tabs>
        <w:spacing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Подключение к существующим распределительным сетям</w:t>
      </w:r>
    </w:p>
    <w:p w:rsidR="001B0B14" w:rsidRDefault="007E7435">
      <w:pPr>
        <w:pStyle w:val="a3"/>
        <w:numPr>
          <w:ilvl w:val="1"/>
          <w:numId w:val="1"/>
        </w:numPr>
        <w:tabs>
          <w:tab w:val="left" w:pos="1134"/>
        </w:tabs>
        <w:ind w:left="0" w:firstLine="567"/>
        <w:jc w:val="both"/>
        <w:rPr>
          <w:color w:val="000000" w:themeColor="text1"/>
          <w:sz w:val="24"/>
        </w:rPr>
      </w:pPr>
      <w:r>
        <w:rPr>
          <w:color w:val="000000" w:themeColor="text1"/>
          <w:sz w:val="24"/>
        </w:rPr>
        <w:t>На этапе создания зарядной инфраструктуры должен быть выполнен анализ места размещения зарядных станций на предмет наличия технических возможностей присоединения зарядной инфраструктуры, необходимой электрической мощности, обеспечение безопасности (заземление, молениезащита). Параметры распределительных сетей должны позволять подключать зарядные станции, технические требования к которым описаны в п. 4.1 (таблица 2).</w:t>
      </w:r>
    </w:p>
    <w:p w:rsidR="001B0B14" w:rsidRDefault="007E7435">
      <w:pPr>
        <w:pStyle w:val="1"/>
        <w:numPr>
          <w:ilvl w:val="0"/>
          <w:numId w:val="1"/>
        </w:numPr>
        <w:tabs>
          <w:tab w:val="left" w:pos="1134"/>
        </w:tabs>
        <w:spacing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Требования к характеристикам и комплектации поставляемого оборудования</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Зарядная станция должна быть высокой степени готовности к монтажу и эксплуатации без необходимости дополнительного укомплектования специализированными расходными материалами.</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Детали и комплектующие для каждой зарядной станции должны быть упакованы надлежащим образом для исключения возможных повреждений при перевозке.</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Парковочное пространство ЭЗС и ЭЗС должны быть оформлены в соответствии с единым брендом Группы копаний ПАО «Россети» (приложение 1-4 к настоящему техническому заданию) (дополнительно согласовывается с Заказчиком).</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ЭЗС должны быть укомплектованы фундаментными плитами (из бетона) высотой не менее 100 мм с закладными деталями для ее установки и монтажа.</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При поставке товара Поставщик должен представить: грузополучателю оригиналы, а Покупателю копии, следующих документов (таблица 2), в том числе:</w:t>
      </w:r>
    </w:p>
    <w:p w:rsidR="001B0B14" w:rsidRDefault="007E7435">
      <w:pPr>
        <w:pStyle w:val="a3"/>
        <w:numPr>
          <w:ilvl w:val="1"/>
          <w:numId w:val="12"/>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Копий сертификатов соответствия.</w:t>
      </w:r>
    </w:p>
    <w:p w:rsidR="001B0B14" w:rsidRDefault="007E7435">
      <w:pPr>
        <w:pStyle w:val="a3"/>
        <w:numPr>
          <w:ilvl w:val="1"/>
          <w:numId w:val="12"/>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Гарантийные свидетельства (гарантийный талон).</w:t>
      </w:r>
    </w:p>
    <w:p w:rsidR="001B0B14" w:rsidRDefault="007E7435">
      <w:pPr>
        <w:pStyle w:val="a3"/>
        <w:numPr>
          <w:ilvl w:val="1"/>
          <w:numId w:val="12"/>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Сертификат о происхождении в случае поставки товара, произведённого за пределами Российской Федерации.</w:t>
      </w:r>
    </w:p>
    <w:p w:rsidR="001B0B14" w:rsidRDefault="007E7435">
      <w:pPr>
        <w:pStyle w:val="a3"/>
        <w:numPr>
          <w:ilvl w:val="1"/>
          <w:numId w:val="12"/>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Паспорт на русском языке.</w:t>
      </w:r>
    </w:p>
    <w:p w:rsidR="001B0B14" w:rsidRDefault="007E7435">
      <w:pPr>
        <w:pStyle w:val="a3"/>
        <w:numPr>
          <w:ilvl w:val="1"/>
          <w:numId w:val="12"/>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Руководство по монтажу на русском языке.</w:t>
      </w:r>
    </w:p>
    <w:p w:rsidR="001B0B14" w:rsidRDefault="007E7435">
      <w:pPr>
        <w:pStyle w:val="a3"/>
        <w:numPr>
          <w:ilvl w:val="1"/>
          <w:numId w:val="12"/>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Руководство по эксплуатации на русском языке.</w:t>
      </w:r>
    </w:p>
    <w:p w:rsidR="001B0B14" w:rsidRDefault="007E7435">
      <w:pPr>
        <w:pStyle w:val="a3"/>
        <w:numPr>
          <w:ilvl w:val="1"/>
          <w:numId w:val="12"/>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Инструкция пользователя (изготавливается на износостойкой основе), в соответствии с требованиями Приложением 3 (дополнительно согласовывается с Заказчиком).</w:t>
      </w:r>
    </w:p>
    <w:p w:rsidR="001B0B14" w:rsidRDefault="007E7435">
      <w:pPr>
        <w:pStyle w:val="a3"/>
        <w:numPr>
          <w:ilvl w:val="1"/>
          <w:numId w:val="12"/>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Иную техническую сопроводительную документацию.</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Поставщик должен осуществить присоединение зарядной станции к внешней сети электроснабжения.</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Поставщик должен осуществить настройку и ввод в работу ЭЗС, провести инструктаж и обучение персонала, а также гарантийное сопровождение.</w:t>
      </w:r>
    </w:p>
    <w:p w:rsidR="001B0B14" w:rsidRDefault="007E7435">
      <w:pPr>
        <w:pStyle w:val="1"/>
        <w:numPr>
          <w:ilvl w:val="0"/>
          <w:numId w:val="1"/>
        </w:numPr>
        <w:tabs>
          <w:tab w:val="left" w:pos="1134"/>
        </w:tabs>
        <w:spacing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Требования к каналам связи и интеграции зарядных станций с системой управления заказчика</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Для организации информационного обмена должен быть обеспечен канал передачи данных, включая наличие 3</w:t>
      </w:r>
      <w:r>
        <w:rPr>
          <w:color w:val="000000" w:themeColor="text1"/>
          <w:sz w:val="24"/>
          <w:szCs w:val="24"/>
          <w:lang w:val="en-US"/>
        </w:rPr>
        <w:t>G</w:t>
      </w:r>
      <w:r>
        <w:rPr>
          <w:color w:val="000000" w:themeColor="text1"/>
          <w:sz w:val="24"/>
          <w:szCs w:val="24"/>
        </w:rPr>
        <w:t>/4</w:t>
      </w:r>
      <w:r>
        <w:rPr>
          <w:color w:val="000000" w:themeColor="text1"/>
          <w:sz w:val="24"/>
          <w:szCs w:val="24"/>
          <w:lang w:val="en-US"/>
        </w:rPr>
        <w:t>G</w:t>
      </w:r>
      <w:r>
        <w:rPr>
          <w:color w:val="000000" w:themeColor="text1"/>
          <w:sz w:val="24"/>
          <w:szCs w:val="24"/>
        </w:rPr>
        <w:t> модема для удаленной связи с узлами в сети интернет. ЭЗС должны быть укомплектованы модемами, необходимыми комплектующими для функционирования ЭЗС, в соответствии с требованиями таблицы 2.</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Программно-аппаратные модули, входящие в состав ЭЗС, должны надежно выполнять свои основные функции при работе в автономном режиме в случае отказа каналов связи. Восстановление обмена информацией и синхронизация работы модулей с системой должны происходить автоматически после восстановления каналов связи. Система должна вести журнал отказов, неисправностей, пропадания напряжения и других нештатных ситуаций работы оборудования и вмешательства персонала. Система должна функционировать в непрерывном режиме круглосуточно в течение установленных сроков службы.</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Скорость передачи канала связи должна обеспечивать полосу пропускания, гарантирующую передачу необходимого объёма информации.</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Каналы связи должны обеспечить организацию обмена данных о пользователе, потребленной мощности и другим параметрам ЭЗС, и интеграцию ЭЗС в систему управления Заказчика.</w:t>
      </w:r>
    </w:p>
    <w:p w:rsidR="001B0B14" w:rsidRDefault="007E7435">
      <w:pPr>
        <w:pStyle w:val="1"/>
        <w:numPr>
          <w:ilvl w:val="0"/>
          <w:numId w:val="1"/>
        </w:numPr>
        <w:tabs>
          <w:tab w:val="left" w:pos="1134"/>
        </w:tabs>
        <w:spacing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Требования к Гарантийному сопровождению</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Поставщик должен обеспечить обучение работе работников Заказчика.</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Поставщик должен обеспечить гарантийное сопровождение Продукции.</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Гарантия на Продукцию должна составлять не менее 24 месяцев c момента ввода продукции в эксплуатацию по акту.</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 xml:space="preserve">Условия гарантийного сервисного обслуживания: </w:t>
      </w:r>
    </w:p>
    <w:p w:rsidR="001B0B14" w:rsidRDefault="007E7435">
      <w:pPr>
        <w:pStyle w:val="a3"/>
        <w:numPr>
          <w:ilvl w:val="1"/>
          <w:numId w:val="13"/>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Поставщик должен обеспечить гарантийное сервисное обслуживание поставленной продукции в течение всего гарантийного срока, установленного заводом-изготовителем.</w:t>
      </w:r>
    </w:p>
    <w:p w:rsidR="001B0B14" w:rsidRDefault="007E7435">
      <w:pPr>
        <w:pStyle w:val="a3"/>
        <w:numPr>
          <w:ilvl w:val="1"/>
          <w:numId w:val="13"/>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Гарантийное сервисное обслуживание осуществляется Поставщиком или привлечёнными им третьими лицами, с использованием своих материалов, оборудования и квалифицированного персонала.</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Затраты на гарантийное сопровождение, включая консультирование персонала в период гарантийного сопровождения, командировочные расходы, входят в стоимость гарантийного сопровождения и отдельно Заказчиком не оплачивается.</w:t>
      </w:r>
    </w:p>
    <w:p w:rsidR="001B0B14" w:rsidRDefault="007E7435">
      <w:pPr>
        <w:pStyle w:val="1"/>
        <w:numPr>
          <w:ilvl w:val="0"/>
          <w:numId w:val="1"/>
        </w:numPr>
        <w:tabs>
          <w:tab w:val="left" w:pos="1134"/>
        </w:tabs>
        <w:spacing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Требования к Поставщику</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Поставщик должен обладать гражданской правоспособностью для заключения и исполнения договора, быть зарегистрированным в установленном порядке.</w:t>
      </w:r>
    </w:p>
    <w:p w:rsidR="001B0B14" w:rsidRDefault="007E7435">
      <w:pPr>
        <w:pStyle w:val="a3"/>
        <w:numPr>
          <w:ilvl w:val="1"/>
          <w:numId w:val="1"/>
        </w:numPr>
        <w:shd w:val="clear" w:color="auto" w:fill="FFFFFF"/>
        <w:tabs>
          <w:tab w:val="left" w:pos="284"/>
          <w:tab w:val="left" w:pos="1134"/>
        </w:tabs>
        <w:ind w:left="0" w:firstLine="567"/>
        <w:jc w:val="both"/>
        <w:rPr>
          <w:color w:val="000000" w:themeColor="text1"/>
          <w:sz w:val="24"/>
          <w:szCs w:val="24"/>
        </w:rPr>
      </w:pPr>
      <w:r>
        <w:rPr>
          <w:color w:val="000000" w:themeColor="text1"/>
          <w:sz w:val="24"/>
          <w:szCs w:val="24"/>
        </w:rPr>
        <w:t>Должен обладать необходимыми ресурсными возможностями (финансовыми, материально-техническими, производственными, трудовыми).</w:t>
      </w:r>
    </w:p>
    <w:p w:rsidR="001B0B14" w:rsidRDefault="001B0B14">
      <w:pPr>
        <w:pStyle w:val="a3"/>
        <w:shd w:val="clear" w:color="auto" w:fill="FFFFFF"/>
        <w:tabs>
          <w:tab w:val="left" w:pos="284"/>
          <w:tab w:val="left" w:pos="1134"/>
        </w:tabs>
        <w:ind w:left="567"/>
        <w:jc w:val="both"/>
        <w:rPr>
          <w:color w:val="000000" w:themeColor="text1"/>
          <w:sz w:val="24"/>
          <w:szCs w:val="24"/>
        </w:rPr>
      </w:pPr>
    </w:p>
    <w:p w:rsidR="001B0B14" w:rsidRDefault="007E7435">
      <w:pPr>
        <w:pStyle w:val="1"/>
        <w:numPr>
          <w:ilvl w:val="0"/>
          <w:numId w:val="1"/>
        </w:numPr>
        <w:tabs>
          <w:tab w:val="left" w:pos="1134"/>
        </w:tabs>
        <w:spacing w:before="0"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Порядок взаиморасчета сторон</w:t>
      </w:r>
    </w:p>
    <w:p w:rsidR="001B0B14" w:rsidRDefault="007E7435">
      <w:pPr>
        <w:pStyle w:val="1"/>
        <w:numPr>
          <w:ilvl w:val="1"/>
          <w:numId w:val="1"/>
        </w:numPr>
        <w:tabs>
          <w:tab w:val="left" w:pos="1134"/>
        </w:tabs>
        <w:spacing w:before="0"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Оплата за поставленный товар производится на следующих условиях: </w:t>
      </w:r>
    </w:p>
    <w:p w:rsidR="001B0B14" w:rsidRDefault="007E7435">
      <w:pPr>
        <w:pStyle w:val="1"/>
        <w:tabs>
          <w:tab w:val="left" w:pos="1134"/>
        </w:tabs>
        <w:spacing w:before="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w:t>
      </w:r>
      <w:r>
        <w:rPr>
          <w:rFonts w:ascii="Times New Roman" w:hAnsi="Times New Roman" w:cs="Times New Roman"/>
          <w:color w:val="000000" w:themeColor="text1"/>
          <w:sz w:val="24"/>
          <w:szCs w:val="24"/>
        </w:rPr>
        <w:tab/>
        <w:t>в случае, если участник закупки является субъектом малого или среднего предпринимательства, то в соответствии с Постановлением Правительства Российской Федерации от 11 декабря 2014 года №1352 «Об особенностях участия субъектов малого и среднего предпринимательства в закупках товаров, работ, услуг отдельными видами юридических лиц» оплата продукции осуществляется в течение 15 рабочих дней после поставки продукции на основании оригиналов первичных документов.</w:t>
      </w:r>
    </w:p>
    <w:p w:rsidR="001B0B14" w:rsidRDefault="007E7435">
      <w:pPr>
        <w:pStyle w:val="1"/>
        <w:tabs>
          <w:tab w:val="left" w:pos="1134"/>
        </w:tabs>
        <w:spacing w:before="0"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б) </w:t>
      </w:r>
      <w:r>
        <w:rPr>
          <w:rFonts w:ascii="Times New Roman" w:hAnsi="Times New Roman" w:cs="Times New Roman"/>
          <w:color w:val="000000" w:themeColor="text1"/>
          <w:sz w:val="24"/>
          <w:szCs w:val="24"/>
        </w:rPr>
        <w:tab/>
        <w:t>в случае, если участник закупки не является субъектом малого или среднего предпринимательства, оплата продукции осуществляется в течение 60 календарных дней после поставки продукции на основании оригиналов первичных документов.</w:t>
      </w:r>
    </w:p>
    <w:p w:rsidR="001B0B14" w:rsidRDefault="007E7435">
      <w:pPr>
        <w:pStyle w:val="1"/>
        <w:numPr>
          <w:ilvl w:val="1"/>
          <w:numId w:val="1"/>
        </w:numPr>
        <w:tabs>
          <w:tab w:val="left" w:pos="1134"/>
        </w:tabs>
        <w:spacing w:before="0"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Условия оплаты указываются Участником закупки в коммерческом предложении в зависимости от принадлежности к МСП.</w:t>
      </w:r>
    </w:p>
    <w:p w:rsidR="001B0B14" w:rsidRDefault="007E7435">
      <w:pPr>
        <w:pStyle w:val="1"/>
        <w:numPr>
          <w:ilvl w:val="0"/>
          <w:numId w:val="1"/>
        </w:numPr>
        <w:tabs>
          <w:tab w:val="left" w:pos="1134"/>
        </w:tabs>
        <w:spacing w:line="240" w:lineRule="auto"/>
        <w:ind w:firstLine="56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Критерии определения победителя</w:t>
      </w:r>
    </w:p>
    <w:p w:rsidR="001B0B14" w:rsidRDefault="007E7435">
      <w:pPr>
        <w:pStyle w:val="a3"/>
        <w:numPr>
          <w:ilvl w:val="1"/>
          <w:numId w:val="1"/>
        </w:numPr>
        <w:tabs>
          <w:tab w:val="left" w:pos="284"/>
          <w:tab w:val="left" w:pos="1134"/>
        </w:tabs>
        <w:autoSpaceDE w:val="0"/>
        <w:autoSpaceDN w:val="0"/>
        <w:adjustRightInd w:val="0"/>
        <w:ind w:left="0" w:right="-7" w:firstLine="567"/>
        <w:jc w:val="both"/>
        <w:rPr>
          <w:rFonts w:eastAsia="Calibri"/>
          <w:sz w:val="24"/>
          <w:szCs w:val="24"/>
        </w:rPr>
      </w:pPr>
      <w:r>
        <w:rPr>
          <w:color w:val="000000" w:themeColor="text1"/>
          <w:sz w:val="24"/>
          <w:szCs w:val="24"/>
        </w:rPr>
        <w:t xml:space="preserve">Стоимость поставляемой продукции (определяется в закупочной документации). </w:t>
      </w:r>
    </w:p>
    <w:p w:rsidR="001B0B14" w:rsidRDefault="007E7435">
      <w:pPr>
        <w:pStyle w:val="a3"/>
        <w:numPr>
          <w:ilvl w:val="1"/>
          <w:numId w:val="1"/>
        </w:numPr>
        <w:tabs>
          <w:tab w:val="left" w:pos="284"/>
          <w:tab w:val="left" w:pos="1134"/>
        </w:tabs>
        <w:autoSpaceDE w:val="0"/>
        <w:autoSpaceDN w:val="0"/>
        <w:adjustRightInd w:val="0"/>
        <w:ind w:left="0" w:right="-7" w:firstLine="567"/>
        <w:jc w:val="both"/>
        <w:rPr>
          <w:rFonts w:eastAsia="Calibri"/>
          <w:sz w:val="24"/>
          <w:szCs w:val="24"/>
        </w:rPr>
      </w:pPr>
      <w:r>
        <w:rPr>
          <w:rFonts w:eastAsia="Calibri"/>
          <w:sz w:val="24"/>
          <w:szCs w:val="24"/>
        </w:rPr>
        <w:t>В соответствии с пунктом 1 части 8 статьи 3 Закона «О закупках товаров, работ, услуг отдельными видами юридических лиц» и постановлением Правительства РФ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от 16 сентября 2016 г. №925 установлен приоритет товарам российского происхождения по отношению к товарам, происходящим из иностранного государства. Участник закупки должен продекларировать в поданной заявке наименование страны происхождения поставляемых товаров. Если в заявке победитель закупки предложит товар российского происхождения или выполнение работ, оказание услуг российскими лицами, то стоимостные критерии оценки производятся по предложенной в заявке цене договора, сниженной на 15 процентов, при этом договор будет заключен по цене договора, предложенной участником в заявке на участие в закупке. В случае отсутствия в заявке на участие в закупке указания страны происхождения поставляемого товара такая заявка будет рассматриваться как содержащая предложение о поставке иностранных товаров.</w:t>
      </w:r>
    </w:p>
    <w:p w:rsidR="001B0B14" w:rsidRDefault="007E7435">
      <w:pPr>
        <w:pStyle w:val="a5"/>
        <w:numPr>
          <w:ilvl w:val="1"/>
          <w:numId w:val="1"/>
        </w:numPr>
        <w:tabs>
          <w:tab w:val="left" w:pos="284"/>
          <w:tab w:val="left" w:pos="1134"/>
        </w:tabs>
        <w:ind w:firstLine="567"/>
        <w:rPr>
          <w:color w:val="000000" w:themeColor="text1"/>
          <w:sz w:val="24"/>
          <w:szCs w:val="24"/>
          <w:lang w:val="ru-RU"/>
        </w:rPr>
      </w:pPr>
      <w:r>
        <w:rPr>
          <w:color w:val="000000" w:themeColor="text1"/>
          <w:sz w:val="24"/>
          <w:szCs w:val="24"/>
        </w:rPr>
        <w:t>Соответствие всем техническим требованиям, предъявляемым к продукции</w:t>
      </w:r>
      <w:r>
        <w:rPr>
          <w:color w:val="000000" w:themeColor="text1"/>
          <w:sz w:val="24"/>
          <w:szCs w:val="24"/>
          <w:lang w:val="ru-RU"/>
        </w:rPr>
        <w:t xml:space="preserve"> (определяется в закупочной документации).</w:t>
      </w:r>
    </w:p>
    <w:p w:rsidR="001B0B14" w:rsidRDefault="007E7435">
      <w:pPr>
        <w:pStyle w:val="a5"/>
        <w:numPr>
          <w:ilvl w:val="1"/>
          <w:numId w:val="1"/>
        </w:numPr>
        <w:tabs>
          <w:tab w:val="left" w:pos="284"/>
          <w:tab w:val="left" w:pos="1134"/>
        </w:tabs>
        <w:ind w:firstLine="567"/>
        <w:rPr>
          <w:color w:val="000000" w:themeColor="text1"/>
          <w:sz w:val="24"/>
          <w:szCs w:val="24"/>
          <w:lang w:val="ru-RU"/>
        </w:rPr>
      </w:pPr>
      <w:r>
        <w:rPr>
          <w:color w:val="000000" w:themeColor="text1"/>
          <w:sz w:val="24"/>
          <w:szCs w:val="24"/>
          <w:lang w:val="ru-RU"/>
        </w:rPr>
        <w:t>Опыт поставки аналогичной продукции (определяется в закупочной документации).</w:t>
      </w:r>
    </w:p>
    <w:p w:rsidR="001B0B14" w:rsidRDefault="001B0B14">
      <w:pPr>
        <w:pStyle w:val="a3"/>
        <w:widowControl w:val="0"/>
        <w:shd w:val="clear" w:color="auto" w:fill="FFFFFF"/>
        <w:tabs>
          <w:tab w:val="left" w:pos="284"/>
          <w:tab w:val="left" w:pos="1134"/>
        </w:tabs>
        <w:autoSpaceDE w:val="0"/>
        <w:autoSpaceDN w:val="0"/>
        <w:adjustRightInd w:val="0"/>
        <w:ind w:left="0" w:firstLine="567"/>
        <w:jc w:val="both"/>
        <w:rPr>
          <w:color w:val="000000" w:themeColor="text1"/>
          <w:sz w:val="24"/>
          <w:szCs w:val="24"/>
        </w:rPr>
      </w:pPr>
    </w:p>
    <w:p w:rsidR="001B0B14" w:rsidRDefault="001B0B14">
      <w:pPr>
        <w:pStyle w:val="a3"/>
        <w:widowControl w:val="0"/>
        <w:shd w:val="clear" w:color="auto" w:fill="FFFFFF"/>
        <w:tabs>
          <w:tab w:val="left" w:pos="284"/>
          <w:tab w:val="left" w:pos="1134"/>
        </w:tabs>
        <w:autoSpaceDE w:val="0"/>
        <w:autoSpaceDN w:val="0"/>
        <w:adjustRightInd w:val="0"/>
        <w:ind w:left="0" w:firstLine="567"/>
        <w:jc w:val="both"/>
        <w:rPr>
          <w:color w:val="000000" w:themeColor="text1"/>
          <w:sz w:val="24"/>
          <w:szCs w:val="24"/>
        </w:rPr>
      </w:pPr>
    </w:p>
    <w:p w:rsidR="001B0B14" w:rsidRDefault="001B0B14">
      <w:pPr>
        <w:pStyle w:val="a3"/>
        <w:widowControl w:val="0"/>
        <w:shd w:val="clear" w:color="auto" w:fill="FFFFFF"/>
        <w:tabs>
          <w:tab w:val="left" w:pos="284"/>
          <w:tab w:val="left" w:pos="1134"/>
        </w:tabs>
        <w:autoSpaceDE w:val="0"/>
        <w:autoSpaceDN w:val="0"/>
        <w:adjustRightInd w:val="0"/>
        <w:ind w:left="0" w:firstLine="567"/>
        <w:jc w:val="both"/>
        <w:rPr>
          <w:color w:val="000000" w:themeColor="text1"/>
          <w:sz w:val="24"/>
          <w:szCs w:val="24"/>
        </w:rPr>
      </w:pPr>
    </w:p>
    <w:p w:rsidR="001B0B14" w:rsidRDefault="001B0B14">
      <w:pPr>
        <w:shd w:val="clear" w:color="auto" w:fill="FFFFFF"/>
        <w:tabs>
          <w:tab w:val="left" w:pos="0"/>
          <w:tab w:val="left" w:pos="284"/>
        </w:tabs>
        <w:spacing w:after="0" w:line="240" w:lineRule="auto"/>
        <w:ind w:firstLine="567"/>
        <w:jc w:val="both"/>
        <w:rPr>
          <w:rFonts w:ascii="Times New Roman" w:hAnsi="Times New Roman" w:cs="Times New Roman"/>
          <w:b/>
          <w:color w:val="000000" w:themeColor="text1"/>
          <w:sz w:val="24"/>
          <w:szCs w:val="24"/>
        </w:rPr>
      </w:pPr>
    </w:p>
    <w:p w:rsidR="001B0B14" w:rsidRDefault="001B0B14">
      <w:pPr>
        <w:spacing w:line="240" w:lineRule="auto"/>
        <w:rPr>
          <w:color w:val="000000" w:themeColor="text1"/>
          <w:lang w:eastAsia="ru-RU"/>
        </w:rPr>
      </w:pPr>
    </w:p>
    <w:p w:rsidR="001B0B14" w:rsidRDefault="007E7435">
      <w:pPr>
        <w:spacing w:line="240" w:lineRule="auto"/>
        <w:rPr>
          <w:rFonts w:ascii="Times New Roman" w:eastAsia="Times New Roman" w:hAnsi="Times New Roman" w:cs="Times New Roman"/>
          <w:b/>
          <w:color w:val="000000" w:themeColor="text1"/>
          <w:sz w:val="24"/>
          <w:szCs w:val="32"/>
          <w:lang w:eastAsia="ru-RU"/>
        </w:rPr>
      </w:pPr>
      <w:r>
        <w:rPr>
          <w:rFonts w:ascii="Times New Roman" w:eastAsia="Times New Roman" w:hAnsi="Times New Roman" w:cs="Times New Roman"/>
          <w:b/>
          <w:color w:val="000000" w:themeColor="text1"/>
          <w:sz w:val="24"/>
          <w:lang w:eastAsia="ru-RU"/>
        </w:rPr>
        <w:br w:type="page"/>
      </w:r>
    </w:p>
    <w:p w:rsidR="001B0B14" w:rsidRDefault="007E7435">
      <w:pPr>
        <w:pStyle w:val="1"/>
        <w:spacing w:line="240" w:lineRule="auto"/>
        <w:jc w:val="right"/>
        <w:rPr>
          <w:rFonts w:ascii="Times New Roman" w:eastAsia="Times New Roman" w:hAnsi="Times New Roman" w:cs="Times New Roman"/>
          <w:b/>
          <w:color w:val="000000" w:themeColor="text1"/>
          <w:sz w:val="24"/>
          <w:lang w:eastAsia="ru-RU"/>
        </w:rPr>
      </w:pPr>
      <w:r>
        <w:rPr>
          <w:rFonts w:ascii="Times New Roman" w:eastAsia="Times New Roman" w:hAnsi="Times New Roman" w:cs="Times New Roman"/>
          <w:b/>
          <w:color w:val="000000" w:themeColor="text1"/>
          <w:sz w:val="24"/>
          <w:lang w:eastAsia="ru-RU"/>
        </w:rPr>
        <w:t>Приложение 1</w:t>
      </w:r>
    </w:p>
    <w:p w:rsidR="001B0B14" w:rsidRDefault="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 xml:space="preserve">к техническому заданию на поставку ЭЗС </w:t>
      </w:r>
    </w:p>
    <w:p w:rsidR="001B0B14" w:rsidRDefault="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для нужд АО «Энергосервис Волги»</w:t>
      </w:r>
    </w:p>
    <w:p w:rsidR="001B0B14" w:rsidRDefault="001B0B14">
      <w:pPr>
        <w:spacing w:after="0" w:line="240" w:lineRule="auto"/>
        <w:ind w:firstLine="567"/>
        <w:jc w:val="both"/>
        <w:rPr>
          <w:rFonts w:ascii="Times New Roman" w:eastAsia="Times New Roman" w:hAnsi="Times New Roman" w:cs="Times New Roman"/>
          <w:b/>
          <w:bCs/>
          <w:color w:val="000000" w:themeColor="text1"/>
          <w:sz w:val="24"/>
          <w:szCs w:val="24"/>
          <w:lang w:eastAsia="ru-RU"/>
        </w:rPr>
      </w:pPr>
    </w:p>
    <w:p w:rsidR="001B0B14" w:rsidRDefault="001B0B14">
      <w:pPr>
        <w:spacing w:after="0" w:line="240" w:lineRule="auto"/>
        <w:jc w:val="center"/>
        <w:rPr>
          <w:rFonts w:ascii="Times New Roman" w:eastAsia="Times New Roman" w:hAnsi="Times New Roman" w:cs="Times New Roman"/>
          <w:b/>
          <w:bCs/>
          <w:color w:val="000000" w:themeColor="text1"/>
          <w:sz w:val="24"/>
          <w:szCs w:val="24"/>
          <w:lang w:eastAsia="ru-RU"/>
        </w:rPr>
      </w:pPr>
    </w:p>
    <w:p w:rsidR="001B0B14" w:rsidRDefault="007E7435">
      <w:pPr>
        <w:tabs>
          <w:tab w:val="left" w:pos="7371"/>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Характеристики и требования к корпусу и внешнему виду поставляемых зарядных станций переменного и постоянного тока</w:t>
      </w:r>
    </w:p>
    <w:p w:rsidR="001B0B14" w:rsidRDefault="001B0B14">
      <w:pPr>
        <w:tabs>
          <w:tab w:val="left" w:pos="7371"/>
        </w:tabs>
        <w:spacing w:after="0" w:line="240" w:lineRule="auto"/>
        <w:ind w:firstLine="709"/>
        <w:rPr>
          <w:rFonts w:ascii="Times New Roman" w:hAnsi="Times New Roman" w:cs="Times New Roman"/>
          <w:b/>
          <w:sz w:val="28"/>
          <w:szCs w:val="28"/>
        </w:rPr>
      </w:pPr>
    </w:p>
    <w:tbl>
      <w:tblPr>
        <w:tblStyle w:val="ab"/>
        <w:tblW w:w="0" w:type="auto"/>
        <w:tblLook w:val="04A0" w:firstRow="1" w:lastRow="0" w:firstColumn="1" w:lastColumn="0" w:noHBand="0" w:noVBand="1"/>
      </w:tblPr>
      <w:tblGrid>
        <w:gridCol w:w="704"/>
        <w:gridCol w:w="2019"/>
        <w:gridCol w:w="7053"/>
      </w:tblGrid>
      <w:tr w:rsidR="001B0B14">
        <w:trPr>
          <w:trHeight w:val="476"/>
          <w:tblHeader/>
        </w:trPr>
        <w:tc>
          <w:tcPr>
            <w:tcW w:w="704" w:type="dxa"/>
          </w:tcPr>
          <w:p w:rsidR="001B0B14" w:rsidRDefault="007E7435">
            <w:pPr>
              <w:tabs>
                <w:tab w:val="left" w:pos="7371"/>
              </w:tabs>
              <w:jc w:val="center"/>
              <w:rPr>
                <w:rFonts w:ascii="Times New Roman" w:hAnsi="Times New Roman" w:cs="Times New Roman"/>
                <w:b/>
                <w:sz w:val="24"/>
                <w:szCs w:val="24"/>
              </w:rPr>
            </w:pPr>
            <w:r>
              <w:rPr>
                <w:rFonts w:ascii="Times New Roman" w:hAnsi="Times New Roman" w:cs="Times New Roman"/>
                <w:b/>
                <w:sz w:val="24"/>
                <w:szCs w:val="24"/>
              </w:rPr>
              <w:t>№ п/п</w:t>
            </w:r>
          </w:p>
        </w:tc>
        <w:tc>
          <w:tcPr>
            <w:tcW w:w="2019" w:type="dxa"/>
          </w:tcPr>
          <w:p w:rsidR="001B0B14" w:rsidRDefault="007E7435">
            <w:pPr>
              <w:tabs>
                <w:tab w:val="left" w:pos="7371"/>
              </w:tabs>
              <w:jc w:val="center"/>
              <w:rPr>
                <w:rFonts w:ascii="Times New Roman" w:hAnsi="Times New Roman" w:cs="Times New Roman"/>
                <w:b/>
                <w:sz w:val="24"/>
                <w:szCs w:val="24"/>
              </w:rPr>
            </w:pPr>
            <w:r>
              <w:rPr>
                <w:rFonts w:ascii="Times New Roman" w:hAnsi="Times New Roman" w:cs="Times New Roman"/>
                <w:b/>
                <w:sz w:val="24"/>
                <w:szCs w:val="24"/>
              </w:rPr>
              <w:t>Характеристика</w:t>
            </w:r>
          </w:p>
        </w:tc>
        <w:tc>
          <w:tcPr>
            <w:tcW w:w="7053" w:type="dxa"/>
          </w:tcPr>
          <w:p w:rsidR="001B0B14" w:rsidRDefault="007E7435">
            <w:pPr>
              <w:tabs>
                <w:tab w:val="left" w:pos="7371"/>
              </w:tabs>
              <w:jc w:val="center"/>
              <w:rPr>
                <w:rFonts w:ascii="Times New Roman" w:hAnsi="Times New Roman" w:cs="Times New Roman"/>
                <w:b/>
                <w:sz w:val="24"/>
                <w:szCs w:val="24"/>
              </w:rPr>
            </w:pPr>
            <w:r>
              <w:rPr>
                <w:rFonts w:ascii="Times New Roman" w:hAnsi="Times New Roman" w:cs="Times New Roman"/>
                <w:b/>
                <w:sz w:val="24"/>
                <w:szCs w:val="24"/>
              </w:rPr>
              <w:t>Требование</w:t>
            </w:r>
          </w:p>
        </w:tc>
      </w:tr>
      <w:tr w:rsidR="001B0B14">
        <w:tc>
          <w:tcPr>
            <w:tcW w:w="704" w:type="dxa"/>
          </w:tcPr>
          <w:p w:rsidR="001B0B14" w:rsidRDefault="007E7435">
            <w:pPr>
              <w:tabs>
                <w:tab w:val="left" w:pos="7371"/>
              </w:tabs>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2019" w:type="dxa"/>
          </w:tcPr>
          <w:p w:rsidR="001B0B14" w:rsidRDefault="007E7435">
            <w:pPr>
              <w:tabs>
                <w:tab w:val="left" w:pos="7371"/>
              </w:tabs>
              <w:rPr>
                <w:rFonts w:ascii="Times New Roman" w:hAnsi="Times New Roman" w:cs="Times New Roman"/>
                <w:sz w:val="24"/>
                <w:szCs w:val="24"/>
              </w:rPr>
            </w:pPr>
            <w:r>
              <w:rPr>
                <w:rFonts w:ascii="Times New Roman" w:hAnsi="Times New Roman" w:cs="Times New Roman"/>
                <w:sz w:val="24"/>
                <w:szCs w:val="24"/>
              </w:rPr>
              <w:t>Габаритные размеры</w:t>
            </w:r>
          </w:p>
        </w:tc>
        <w:tc>
          <w:tcPr>
            <w:tcW w:w="7053" w:type="dxa"/>
          </w:tcPr>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Общая высота – не более 2300 мм.</w:t>
            </w:r>
          </w:p>
          <w:p w:rsidR="001B0B14" w:rsidRDefault="007E7435">
            <w:pPr>
              <w:pBdr>
                <w:top w:val="nil"/>
                <w:left w:val="nil"/>
                <w:bottom w:val="nil"/>
                <w:right w:val="nil"/>
                <w:between w:val="nil"/>
              </w:pBdr>
              <w:tabs>
                <w:tab w:val="left" w:pos="7371"/>
              </w:tabs>
              <w:jc w:val="both"/>
              <w:rPr>
                <w:rFonts w:ascii="Times New Roman" w:hAnsi="Times New Roman" w:cs="Times New Roman"/>
                <w:b/>
                <w:sz w:val="24"/>
                <w:szCs w:val="24"/>
              </w:rPr>
            </w:pPr>
            <w:r>
              <w:rPr>
                <w:rFonts w:ascii="Times New Roman" w:hAnsi="Times New Roman" w:cs="Times New Roman"/>
                <w:sz w:val="24"/>
                <w:szCs w:val="24"/>
              </w:rPr>
              <w:t>Сумма измерений ширины и глубины – не более 1400 мм.</w:t>
            </w:r>
          </w:p>
        </w:tc>
      </w:tr>
      <w:tr w:rsidR="001B0B14">
        <w:tc>
          <w:tcPr>
            <w:tcW w:w="704" w:type="dxa"/>
          </w:tcPr>
          <w:p w:rsidR="001B0B14" w:rsidRDefault="007E7435">
            <w:pPr>
              <w:tabs>
                <w:tab w:val="left" w:pos="7371"/>
              </w:tabs>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2019" w:type="dxa"/>
          </w:tcPr>
          <w:p w:rsidR="001B0B14" w:rsidRDefault="007E7435">
            <w:pPr>
              <w:tabs>
                <w:tab w:val="left" w:pos="7371"/>
              </w:tabs>
              <w:rPr>
                <w:rFonts w:ascii="Times New Roman" w:hAnsi="Times New Roman" w:cs="Times New Roman"/>
                <w:sz w:val="24"/>
                <w:szCs w:val="24"/>
              </w:rPr>
            </w:pPr>
            <w:r>
              <w:rPr>
                <w:rFonts w:ascii="Times New Roman" w:hAnsi="Times New Roman" w:cs="Times New Roman"/>
                <w:sz w:val="24"/>
                <w:szCs w:val="24"/>
              </w:rPr>
              <w:t>Конструкция</w:t>
            </w:r>
          </w:p>
        </w:tc>
        <w:tc>
          <w:tcPr>
            <w:tcW w:w="7053" w:type="dxa"/>
          </w:tcPr>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Отдельно стоящая сборная каркасная металлоконструкция с подводом питающего кабеля снизу.</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Детали ЭЗС производятся с использованием композитных материалов.</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Для обеспечения требуемой жесткости узловых соединений используется несущая металлоконструкция, которая состоит из силового каркаса и монтажных панелей, с антикоррозийным покрытием. Данные металлические элементы имеют толщину стенки до 5 мм.</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Конструкция ЭЗС должна быть рассчитана минимум для II ветрового района, скоростной напор ветра до 30 кг/м</w:t>
            </w:r>
            <w:r>
              <w:rPr>
                <w:rFonts w:ascii="Times New Roman" w:hAnsi="Times New Roman" w:cs="Times New Roman"/>
                <w:sz w:val="24"/>
                <w:szCs w:val="24"/>
                <w:vertAlign w:val="superscript"/>
              </w:rPr>
              <w:t>2</w:t>
            </w:r>
            <w:r>
              <w:rPr>
                <w:rFonts w:ascii="Times New Roman" w:hAnsi="Times New Roman" w:cs="Times New Roman"/>
                <w:sz w:val="24"/>
                <w:szCs w:val="24"/>
              </w:rPr>
              <w:t>, тип местности В. Нормативное значение пульсационной составляющей ветровой нагрузки в пределах от 20 до 30 кг/м</w:t>
            </w:r>
            <w:r>
              <w:rPr>
                <w:rFonts w:ascii="Times New Roman" w:hAnsi="Times New Roman" w:cs="Times New Roman"/>
                <w:sz w:val="24"/>
                <w:szCs w:val="24"/>
                <w:vertAlign w:val="superscript"/>
              </w:rPr>
              <w:t>2</w:t>
            </w:r>
            <w:r>
              <w:rPr>
                <w:rFonts w:ascii="Times New Roman" w:hAnsi="Times New Roman" w:cs="Times New Roman"/>
                <w:sz w:val="24"/>
                <w:szCs w:val="24"/>
              </w:rPr>
              <w:t>. Расчетная снеговая нагрузка должна находится в пределах от 170 до 250 кг/м</w:t>
            </w:r>
            <w:r>
              <w:rPr>
                <w:rFonts w:ascii="Times New Roman" w:hAnsi="Times New Roman" w:cs="Times New Roman"/>
                <w:sz w:val="24"/>
                <w:szCs w:val="24"/>
                <w:vertAlign w:val="superscript"/>
              </w:rPr>
              <w:t>2</w:t>
            </w:r>
            <w:r>
              <w:rPr>
                <w:rFonts w:ascii="Times New Roman" w:hAnsi="Times New Roman" w:cs="Times New Roman"/>
                <w:sz w:val="24"/>
                <w:szCs w:val="24"/>
              </w:rPr>
              <w:t xml:space="preserve"> (не ниже III снегового района).</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Степень агрессивности воздействия среды должна соответствовать СНиП 2.03.11-85. Коэффициент надежности по ответственности (при расчете) должен быть не менее 1,3 и не более 1,8, уровень ответственности не менее III. Момент удержания фундаментной плиты при опрокидывании не менее 2 и не более 3 т/м. Ледовая нагрузка 5 кг/м². Боковая сосредоточенная нагрузка 80 кг/м на высоте 0,9 метров.</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Общий внешний вид предлагаемого объекта должен соответствовать прилагаемому в Приложении 1 изображению.</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Конструкции и детали крепления элементов ЭЗС должны обеспечивать восприятие динамических нагрузок, возникающих при транспортировке станции, либо ее отдельных элементов, к месту установки/хранения.</w:t>
            </w:r>
          </w:p>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Установить систему блокировки зарядного отсека в режиме «зарядка» с помощью электромагнитных замков или механических блокираторов.</w:t>
            </w:r>
          </w:p>
        </w:tc>
      </w:tr>
      <w:tr w:rsidR="001B0B14">
        <w:tc>
          <w:tcPr>
            <w:tcW w:w="704" w:type="dxa"/>
          </w:tcPr>
          <w:p w:rsidR="001B0B14" w:rsidRDefault="007E7435">
            <w:pPr>
              <w:tabs>
                <w:tab w:val="left" w:pos="7371"/>
              </w:tabs>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2019" w:type="dxa"/>
          </w:tcPr>
          <w:p w:rsidR="001B0B14" w:rsidRDefault="007E7435">
            <w:pPr>
              <w:tabs>
                <w:tab w:val="left" w:pos="7371"/>
              </w:tabs>
              <w:rPr>
                <w:rFonts w:ascii="Times New Roman" w:hAnsi="Times New Roman" w:cs="Times New Roman"/>
                <w:sz w:val="24"/>
                <w:szCs w:val="24"/>
              </w:rPr>
            </w:pPr>
            <w:r>
              <w:rPr>
                <w:rFonts w:ascii="Times New Roman" w:hAnsi="Times New Roman" w:cs="Times New Roman"/>
                <w:sz w:val="24"/>
                <w:szCs w:val="24"/>
              </w:rPr>
              <w:t>Фундамент</w:t>
            </w:r>
          </w:p>
        </w:tc>
        <w:tc>
          <w:tcPr>
            <w:tcW w:w="7053" w:type="dxa"/>
          </w:tcPr>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Установку производить в строгом соответствии с проектной документацией. Фундамент станции представляет собой армированную бетонную плиту габаритами не более 1000х1000х700 мм., применяемая арматура должна соответствовать требованиям ГОСТ 5781-82, марка и состав бетона должна соответствовать требованиям ГОСТ 25192-2012. В плиту фундамента установлены закладные крепежные элементы (анкерная группа) расчетного сечения в количестве 4 штук, диаметр применяемых шпилек должен быть не более 16 мм. В плите следует предусмотреть монтажное окно для подвода электрокабеля. Окно спроектировать с учетом предельных радиусов изгиба питающего кабеля и труб кабельной канализации. Пример предполагаемого фундамента приведен на рисунке 2.</w:t>
            </w:r>
          </w:p>
        </w:tc>
      </w:tr>
      <w:tr w:rsidR="001B0B14">
        <w:tc>
          <w:tcPr>
            <w:tcW w:w="704" w:type="dxa"/>
          </w:tcPr>
          <w:p w:rsidR="001B0B14" w:rsidRDefault="007E7435">
            <w:pPr>
              <w:tabs>
                <w:tab w:val="left" w:pos="7371"/>
              </w:tabs>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2019" w:type="dxa"/>
          </w:tcPr>
          <w:p w:rsidR="001B0B14" w:rsidRDefault="007E7435">
            <w:pPr>
              <w:tabs>
                <w:tab w:val="left" w:pos="7371"/>
              </w:tabs>
              <w:rPr>
                <w:rFonts w:ascii="Times New Roman" w:hAnsi="Times New Roman" w:cs="Times New Roman"/>
                <w:sz w:val="24"/>
                <w:szCs w:val="24"/>
              </w:rPr>
            </w:pPr>
            <w:r>
              <w:rPr>
                <w:rFonts w:ascii="Times New Roman" w:hAnsi="Times New Roman" w:cs="Times New Roman"/>
                <w:sz w:val="24"/>
                <w:szCs w:val="24"/>
              </w:rPr>
              <w:t>Крепления</w:t>
            </w:r>
          </w:p>
        </w:tc>
        <w:tc>
          <w:tcPr>
            <w:tcW w:w="7053" w:type="dxa"/>
          </w:tcPr>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Монтаж должен производиться к специально подготовленному фундаменту в строгом соответствии с конструкторской документацией.</w:t>
            </w:r>
          </w:p>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Все элементы крепеж станции должны соответствовать требованиям Единой Системы Защиты от Коррозии и Старения (ГОСТ 9).</w:t>
            </w:r>
          </w:p>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Элементы видимого крепежа следует производить из нержавеющей стали, классом не ниже AISI316, если это не противоречит требованиям ЕСЗКС.</w:t>
            </w:r>
          </w:p>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Точки крепления станции к основанию подвергаются дополнительной антикоррозионной обработке.</w:t>
            </w:r>
          </w:p>
          <w:p w:rsidR="001B0B14" w:rsidRDefault="007E7435">
            <w:pPr>
              <w:tabs>
                <w:tab w:val="left" w:pos="7371"/>
              </w:tabs>
              <w:jc w:val="both"/>
              <w:rPr>
                <w:rFonts w:ascii="Times New Roman" w:hAnsi="Times New Roman" w:cs="Times New Roman"/>
                <w:b/>
                <w:sz w:val="24"/>
                <w:szCs w:val="24"/>
              </w:rPr>
            </w:pPr>
            <w:r>
              <w:rPr>
                <w:rFonts w:ascii="Times New Roman" w:hAnsi="Times New Roman" w:cs="Times New Roman"/>
                <w:sz w:val="24"/>
                <w:szCs w:val="24"/>
              </w:rPr>
              <w:t>Пример закладной детали для крепления зарядной станции приведен на рисунке 3.</w:t>
            </w:r>
          </w:p>
        </w:tc>
      </w:tr>
      <w:tr w:rsidR="001B0B14">
        <w:tc>
          <w:tcPr>
            <w:tcW w:w="704" w:type="dxa"/>
          </w:tcPr>
          <w:p w:rsidR="001B0B14" w:rsidRDefault="007E7435">
            <w:pPr>
              <w:tabs>
                <w:tab w:val="left" w:pos="7371"/>
              </w:tabs>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2019" w:type="dxa"/>
          </w:tcPr>
          <w:p w:rsidR="001B0B14" w:rsidRDefault="007E7435">
            <w:pPr>
              <w:tabs>
                <w:tab w:val="left" w:pos="7371"/>
              </w:tabs>
              <w:rPr>
                <w:rFonts w:ascii="Times New Roman" w:hAnsi="Times New Roman" w:cs="Times New Roman"/>
                <w:sz w:val="24"/>
                <w:szCs w:val="24"/>
              </w:rPr>
            </w:pPr>
            <w:r>
              <w:rPr>
                <w:rFonts w:ascii="Times New Roman" w:hAnsi="Times New Roman" w:cs="Times New Roman"/>
                <w:sz w:val="24"/>
                <w:szCs w:val="24"/>
              </w:rPr>
              <w:t>Внешние панели корпуса</w:t>
            </w:r>
          </w:p>
        </w:tc>
        <w:tc>
          <w:tcPr>
            <w:tcW w:w="7053" w:type="dxa"/>
          </w:tcPr>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 xml:space="preserve">Производится из стеклопластика с гладкой чистовой поверхностью. </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Цвет RAL 9006.</w:t>
            </w:r>
          </w:p>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Внешние панели имеют поверхность, устойчивую к атмосферным воздействиям. Дизайн выполнен в форме многоугольника и реализуется путем использования в ходе производства соответствующей оснастки.</w:t>
            </w:r>
          </w:p>
        </w:tc>
      </w:tr>
      <w:tr w:rsidR="001B0B14">
        <w:tc>
          <w:tcPr>
            <w:tcW w:w="704" w:type="dxa"/>
          </w:tcPr>
          <w:p w:rsidR="001B0B14" w:rsidRDefault="007E7435">
            <w:pPr>
              <w:tabs>
                <w:tab w:val="left" w:pos="7371"/>
              </w:tabs>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2019" w:type="dxa"/>
          </w:tcPr>
          <w:p w:rsidR="001B0B14" w:rsidRDefault="007E7435">
            <w:pPr>
              <w:tabs>
                <w:tab w:val="left" w:pos="7371"/>
              </w:tabs>
              <w:rPr>
                <w:rFonts w:ascii="Times New Roman" w:hAnsi="Times New Roman" w:cs="Times New Roman"/>
                <w:sz w:val="24"/>
                <w:szCs w:val="24"/>
              </w:rPr>
            </w:pPr>
            <w:r>
              <w:rPr>
                <w:rFonts w:ascii="Times New Roman" w:hAnsi="Times New Roman" w:cs="Times New Roman"/>
                <w:sz w:val="24"/>
                <w:szCs w:val="24"/>
              </w:rPr>
              <w:t>Лицевая панель</w:t>
            </w:r>
          </w:p>
        </w:tc>
        <w:tc>
          <w:tcPr>
            <w:tcW w:w="7053" w:type="dxa"/>
          </w:tcPr>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 xml:space="preserve">Выполнена из триплекса толщиной не менее 8 мм и не более 12 мм и светопропусканием 40%. За стеклом разместить лист поликарбоната цвет RAL 9010 (белый) с вырезом под дисплей (см. Приложение 1). </w:t>
            </w:r>
          </w:p>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C внутренней стороны нанести непрозрачное покрытие (далее – фритта) для скрытия элементов крепления и выделения светопропускающего участка с засветкой в форме логотипа               ПАО «Россети».  Фритта должна быть неотъемлемой частью поверхности стекла, не допускается изготавливать фритту из бумаги, пластика, пленки и иных материалов и наклеивать на стеклянную поверхность. Допускается печать фритты специальными керамическими красками. Перед запуском в производство, образец стекла с применяемыми решениями, необходимо согласовать с Заказчиком.</w:t>
            </w:r>
          </w:p>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 xml:space="preserve">Все продольные кромки - со снятой фаской и заполированы. </w:t>
            </w:r>
          </w:p>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Зазор по высоте между триплексом и внешними панелями необходимо выдержать равномерным по всему периметру, шириной не менее 2 мм и не более 5 мм.</w:t>
            </w:r>
          </w:p>
        </w:tc>
      </w:tr>
      <w:tr w:rsidR="001B0B14">
        <w:tc>
          <w:tcPr>
            <w:tcW w:w="704" w:type="dxa"/>
          </w:tcPr>
          <w:p w:rsidR="001B0B14" w:rsidRDefault="007E7435">
            <w:pPr>
              <w:tabs>
                <w:tab w:val="left" w:pos="7371"/>
              </w:tabs>
              <w:rPr>
                <w:rFonts w:ascii="Times New Roman" w:hAnsi="Times New Roman" w:cs="Times New Roman"/>
                <w:sz w:val="24"/>
                <w:szCs w:val="24"/>
              </w:rPr>
            </w:pPr>
            <w:r>
              <w:rPr>
                <w:rFonts w:ascii="Times New Roman" w:hAnsi="Times New Roman" w:cs="Times New Roman"/>
                <w:sz w:val="24"/>
                <w:szCs w:val="24"/>
              </w:rPr>
              <w:t>7.</w:t>
            </w:r>
          </w:p>
        </w:tc>
        <w:tc>
          <w:tcPr>
            <w:tcW w:w="2019" w:type="dxa"/>
          </w:tcPr>
          <w:p w:rsidR="001B0B14" w:rsidRDefault="007E7435">
            <w:pPr>
              <w:tabs>
                <w:tab w:val="left" w:pos="7371"/>
              </w:tabs>
              <w:rPr>
                <w:rFonts w:ascii="Times New Roman" w:hAnsi="Times New Roman" w:cs="Times New Roman"/>
                <w:sz w:val="24"/>
                <w:szCs w:val="24"/>
              </w:rPr>
            </w:pPr>
            <w:r>
              <w:rPr>
                <w:rFonts w:ascii="Times New Roman" w:hAnsi="Times New Roman" w:cs="Times New Roman"/>
                <w:sz w:val="24"/>
                <w:szCs w:val="24"/>
              </w:rPr>
              <w:t>Засветка</w:t>
            </w:r>
          </w:p>
        </w:tc>
        <w:tc>
          <w:tcPr>
            <w:tcW w:w="7053" w:type="dxa"/>
          </w:tcPr>
          <w:p w:rsidR="001B0B14" w:rsidRDefault="007E7435">
            <w:pPr>
              <w:tabs>
                <w:tab w:val="left" w:pos="7371"/>
              </w:tabs>
              <w:jc w:val="both"/>
              <w:rPr>
                <w:rFonts w:ascii="Times New Roman" w:hAnsi="Times New Roman" w:cs="Times New Roman"/>
                <w:sz w:val="24"/>
                <w:szCs w:val="24"/>
              </w:rPr>
            </w:pPr>
            <w:r>
              <w:rPr>
                <w:rFonts w:ascii="Times New Roman" w:hAnsi="Times New Roman" w:cs="Times New Roman"/>
                <w:sz w:val="24"/>
                <w:szCs w:val="24"/>
              </w:rPr>
              <w:t xml:space="preserve">Светодиодная. Количество светодиодов должно обеспечивать яркую и равномерную засветку логотипа ПАО «Россети». </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 xml:space="preserve">Яркость элементов не превышает фотометрические свойства дорожных знаков. </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Логотип ПАО «Россети» должен выполнять роль световой индикации работы станции. Индикация должна отображать следующие режимы работы зарядной станции:</w:t>
            </w:r>
            <w:r>
              <w:rPr>
                <w:rFonts w:ascii="Times New Roman" w:hAnsi="Times New Roman" w:cs="Times New Roman"/>
                <w:sz w:val="24"/>
                <w:szCs w:val="24"/>
              </w:rPr>
              <w:br/>
              <w:t xml:space="preserve">- Режим ожидания - белый цвет </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 Режим заряда – синий</w:t>
            </w:r>
          </w:p>
          <w:p w:rsidR="001B0B14" w:rsidRDefault="007E7435">
            <w:pPr>
              <w:pBdr>
                <w:top w:val="nil"/>
                <w:left w:val="nil"/>
                <w:bottom w:val="nil"/>
                <w:right w:val="nil"/>
                <w:between w:val="nil"/>
              </w:pBdr>
              <w:tabs>
                <w:tab w:val="left" w:pos="7371"/>
              </w:tabs>
              <w:jc w:val="both"/>
              <w:rPr>
                <w:rFonts w:ascii="Times New Roman" w:hAnsi="Times New Roman" w:cs="Times New Roman"/>
                <w:sz w:val="24"/>
                <w:szCs w:val="24"/>
              </w:rPr>
            </w:pPr>
            <w:r>
              <w:rPr>
                <w:rFonts w:ascii="Times New Roman" w:hAnsi="Times New Roman" w:cs="Times New Roman"/>
                <w:sz w:val="24"/>
                <w:szCs w:val="24"/>
              </w:rPr>
              <w:t>- Аварийный режим – красный</w:t>
            </w:r>
            <w:r>
              <w:rPr>
                <w:rFonts w:ascii="Times New Roman" w:hAnsi="Times New Roman" w:cs="Times New Roman"/>
                <w:sz w:val="24"/>
                <w:szCs w:val="24"/>
              </w:rPr>
              <w:br/>
              <w:t>Цвета индикации режимов работы станции перед запуском в производство необходимо согласовать с Заказчиком.</w:t>
            </w:r>
          </w:p>
        </w:tc>
      </w:tr>
    </w:tbl>
    <w:p w:rsidR="005F7E45" w:rsidRPr="005F7E45" w:rsidRDefault="005F7E45" w:rsidP="005F7E45">
      <w:pPr>
        <w:tabs>
          <w:tab w:val="left" w:pos="5529"/>
          <w:tab w:val="left" w:pos="7371"/>
        </w:tabs>
        <w:jc w:val="center"/>
        <w:rPr>
          <w:b/>
          <w:sz w:val="24"/>
          <w:szCs w:val="24"/>
        </w:rPr>
      </w:pPr>
      <w:r w:rsidRPr="005F7E45">
        <w:rPr>
          <w:b/>
          <w:sz w:val="24"/>
          <w:szCs w:val="24"/>
        </w:rPr>
        <w:t xml:space="preserve"> </w:t>
      </w:r>
    </w:p>
    <w:p w:rsidR="005F7E45" w:rsidRPr="005F7E45" w:rsidRDefault="005F7E45" w:rsidP="005F7E45">
      <w:pPr>
        <w:tabs>
          <w:tab w:val="left" w:pos="5529"/>
          <w:tab w:val="left" w:pos="7371"/>
        </w:tabs>
        <w:jc w:val="center"/>
        <w:rPr>
          <w:rFonts w:ascii="Times New Roman" w:hAnsi="Times New Roman" w:cs="Times New Roman"/>
          <w:b/>
          <w:sz w:val="24"/>
          <w:szCs w:val="24"/>
        </w:rPr>
      </w:pPr>
      <w:r w:rsidRPr="005F7E45">
        <w:rPr>
          <w:rFonts w:ascii="Times New Roman" w:hAnsi="Times New Roman" w:cs="Times New Roman"/>
          <w:b/>
          <w:sz w:val="24"/>
          <w:szCs w:val="24"/>
        </w:rPr>
        <w:t>Характеристики и требования к благоустройству поставляемых зарядных станций переменного и постоянного тока</w:t>
      </w:r>
    </w:p>
    <w:tbl>
      <w:tblPr>
        <w:tblStyle w:val="ab"/>
        <w:tblW w:w="9634" w:type="dxa"/>
        <w:tblLook w:val="04A0" w:firstRow="1" w:lastRow="0" w:firstColumn="1" w:lastColumn="0" w:noHBand="0" w:noVBand="1"/>
      </w:tblPr>
      <w:tblGrid>
        <w:gridCol w:w="704"/>
        <w:gridCol w:w="2105"/>
        <w:gridCol w:w="6825"/>
      </w:tblGrid>
      <w:tr w:rsidR="005F7E45" w:rsidRPr="005F7E45" w:rsidTr="008244FD">
        <w:trPr>
          <w:trHeight w:val="476"/>
          <w:tblHeader/>
        </w:trPr>
        <w:tc>
          <w:tcPr>
            <w:tcW w:w="704" w:type="dxa"/>
          </w:tcPr>
          <w:p w:rsidR="005F7E45" w:rsidRPr="005F7E45" w:rsidRDefault="005F7E45" w:rsidP="008244FD">
            <w:pPr>
              <w:tabs>
                <w:tab w:val="left" w:pos="5529"/>
                <w:tab w:val="left" w:pos="7371"/>
              </w:tabs>
              <w:jc w:val="center"/>
              <w:rPr>
                <w:rFonts w:ascii="Times New Roman" w:hAnsi="Times New Roman" w:cs="Times New Roman"/>
                <w:b/>
                <w:sz w:val="24"/>
                <w:szCs w:val="24"/>
              </w:rPr>
            </w:pPr>
            <w:r w:rsidRPr="005F7E45">
              <w:rPr>
                <w:rFonts w:ascii="Times New Roman" w:hAnsi="Times New Roman" w:cs="Times New Roman"/>
                <w:b/>
                <w:sz w:val="24"/>
                <w:szCs w:val="24"/>
              </w:rPr>
              <w:t>№ п/п</w:t>
            </w:r>
          </w:p>
        </w:tc>
        <w:tc>
          <w:tcPr>
            <w:tcW w:w="2105" w:type="dxa"/>
          </w:tcPr>
          <w:p w:rsidR="005F7E45" w:rsidRPr="005F7E45" w:rsidRDefault="005F7E45" w:rsidP="008244FD">
            <w:pPr>
              <w:tabs>
                <w:tab w:val="left" w:pos="5529"/>
                <w:tab w:val="left" w:pos="7371"/>
              </w:tabs>
              <w:jc w:val="center"/>
              <w:rPr>
                <w:rFonts w:ascii="Times New Roman" w:hAnsi="Times New Roman" w:cs="Times New Roman"/>
                <w:b/>
                <w:sz w:val="24"/>
                <w:szCs w:val="24"/>
              </w:rPr>
            </w:pPr>
            <w:r w:rsidRPr="005F7E45">
              <w:rPr>
                <w:rFonts w:ascii="Times New Roman" w:hAnsi="Times New Roman" w:cs="Times New Roman"/>
                <w:b/>
                <w:sz w:val="24"/>
                <w:szCs w:val="24"/>
              </w:rPr>
              <w:t>Характеристика</w:t>
            </w:r>
          </w:p>
        </w:tc>
        <w:tc>
          <w:tcPr>
            <w:tcW w:w="6825" w:type="dxa"/>
          </w:tcPr>
          <w:p w:rsidR="005F7E45" w:rsidRPr="005F7E45" w:rsidRDefault="005F7E45" w:rsidP="008244FD">
            <w:pPr>
              <w:tabs>
                <w:tab w:val="left" w:pos="5529"/>
                <w:tab w:val="left" w:pos="7371"/>
              </w:tabs>
              <w:jc w:val="center"/>
              <w:rPr>
                <w:rFonts w:ascii="Times New Roman" w:hAnsi="Times New Roman" w:cs="Times New Roman"/>
                <w:b/>
                <w:sz w:val="24"/>
                <w:szCs w:val="24"/>
              </w:rPr>
            </w:pPr>
            <w:r w:rsidRPr="005F7E45">
              <w:rPr>
                <w:rFonts w:ascii="Times New Roman" w:hAnsi="Times New Roman" w:cs="Times New Roman"/>
                <w:b/>
                <w:sz w:val="24"/>
                <w:szCs w:val="24"/>
              </w:rPr>
              <w:t>Требование</w:t>
            </w:r>
          </w:p>
        </w:tc>
      </w:tr>
      <w:tr w:rsidR="005F7E45" w:rsidRPr="005F7E45" w:rsidTr="008244FD">
        <w:tc>
          <w:tcPr>
            <w:tcW w:w="704" w:type="dxa"/>
          </w:tcPr>
          <w:p w:rsidR="005F7E45" w:rsidRPr="005F7E45" w:rsidRDefault="005F7E45" w:rsidP="008244FD">
            <w:pPr>
              <w:tabs>
                <w:tab w:val="left" w:pos="5529"/>
                <w:tab w:val="left" w:pos="7371"/>
              </w:tabs>
              <w:rPr>
                <w:rFonts w:ascii="Times New Roman" w:hAnsi="Times New Roman" w:cs="Times New Roman"/>
                <w:sz w:val="24"/>
                <w:szCs w:val="24"/>
              </w:rPr>
            </w:pPr>
            <w:r w:rsidRPr="005F7E45">
              <w:rPr>
                <w:rFonts w:ascii="Times New Roman" w:hAnsi="Times New Roman" w:cs="Times New Roman"/>
                <w:sz w:val="24"/>
                <w:szCs w:val="24"/>
              </w:rPr>
              <w:t>1.</w:t>
            </w:r>
          </w:p>
        </w:tc>
        <w:tc>
          <w:tcPr>
            <w:tcW w:w="2105" w:type="dxa"/>
          </w:tcPr>
          <w:p w:rsidR="005F7E45" w:rsidRPr="005F7E45" w:rsidRDefault="005F7E45" w:rsidP="008244FD">
            <w:pPr>
              <w:tabs>
                <w:tab w:val="left" w:pos="5529"/>
                <w:tab w:val="left" w:pos="7371"/>
              </w:tabs>
              <w:rPr>
                <w:rFonts w:ascii="Times New Roman" w:hAnsi="Times New Roman" w:cs="Times New Roman"/>
                <w:sz w:val="24"/>
                <w:szCs w:val="24"/>
              </w:rPr>
            </w:pPr>
            <w:r w:rsidRPr="005F7E45">
              <w:rPr>
                <w:rFonts w:ascii="Times New Roman" w:hAnsi="Times New Roman" w:cs="Times New Roman"/>
                <w:sz w:val="24"/>
                <w:szCs w:val="24"/>
              </w:rPr>
              <w:t xml:space="preserve">Уличное освещение </w:t>
            </w:r>
          </w:p>
        </w:tc>
        <w:tc>
          <w:tcPr>
            <w:tcW w:w="6825" w:type="dxa"/>
          </w:tcPr>
          <w:p w:rsidR="005F7E45" w:rsidRPr="005F7E45" w:rsidRDefault="005F7E45" w:rsidP="008244FD">
            <w:pPr>
              <w:pBdr>
                <w:top w:val="nil"/>
                <w:left w:val="nil"/>
                <w:bottom w:val="nil"/>
                <w:right w:val="nil"/>
                <w:between w:val="nil"/>
              </w:pBdr>
              <w:tabs>
                <w:tab w:val="left" w:pos="5529"/>
                <w:tab w:val="left" w:pos="7371"/>
              </w:tabs>
              <w:jc w:val="both"/>
              <w:rPr>
                <w:rFonts w:ascii="Times New Roman" w:hAnsi="Times New Roman" w:cs="Times New Roman"/>
                <w:sz w:val="24"/>
                <w:szCs w:val="24"/>
              </w:rPr>
            </w:pPr>
            <w:r w:rsidRPr="005F7E45">
              <w:rPr>
                <w:rFonts w:ascii="Times New Roman" w:hAnsi="Times New Roman" w:cs="Times New Roman"/>
                <w:sz w:val="24"/>
                <w:szCs w:val="24"/>
              </w:rPr>
              <w:t>Комплект со светодиодным светильником (с возможностью замены лампы и световым потоком не мене 1000 лм), датчиком освещённости и IP камеры видеонаблюдения с поддержкой протокола RTSP (включая наладку оборудования), с сопутствующей документацией, оформленная в соответствии с требованиями настоящего технического задания (требования определяется при проектировании).</w:t>
            </w:r>
          </w:p>
        </w:tc>
      </w:tr>
    </w:tbl>
    <w:p w:rsidR="001B0B14" w:rsidRDefault="001B0B14">
      <w:pPr>
        <w:tabs>
          <w:tab w:val="left" w:pos="7371"/>
        </w:tabs>
        <w:spacing w:before="120" w:after="120" w:line="240" w:lineRule="auto"/>
        <w:jc w:val="center"/>
        <w:rPr>
          <w:noProof/>
          <w:lang w:eastAsia="ru-RU"/>
        </w:rPr>
      </w:pPr>
      <w:bookmarkStart w:id="0" w:name="_GoBack"/>
      <w:bookmarkEnd w:id="0"/>
    </w:p>
    <w:p w:rsidR="001B0B14" w:rsidRDefault="007E7435">
      <w:pPr>
        <w:tabs>
          <w:tab w:val="left" w:pos="7371"/>
        </w:tabs>
        <w:spacing w:before="120" w:after="120" w:line="240" w:lineRule="auto"/>
        <w:jc w:val="center"/>
        <w:rPr>
          <w:rFonts w:ascii="Times New Roman" w:hAnsi="Times New Roman" w:cs="Times New Roman"/>
          <w:color w:val="000000"/>
          <w:sz w:val="23"/>
          <w:szCs w:val="23"/>
        </w:rPr>
      </w:pPr>
      <w:r>
        <w:rPr>
          <w:noProof/>
          <w:lang w:eastAsia="ru-RU"/>
        </w:rPr>
        <w:drawing>
          <wp:inline distT="0" distB="0" distL="0" distR="0">
            <wp:extent cx="5940425" cy="5940425"/>
            <wp:effectExtent l="0" t="0" r="3175"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5940425"/>
                    </a:xfrm>
                    <a:prstGeom prst="rect">
                      <a:avLst/>
                    </a:prstGeom>
                  </pic:spPr>
                </pic:pic>
              </a:graphicData>
            </a:graphic>
          </wp:inline>
        </w:drawing>
      </w:r>
    </w:p>
    <w:p w:rsidR="001B0B14" w:rsidRDefault="007E7435">
      <w:pPr>
        <w:spacing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Рисунок 1 </w:t>
      </w:r>
    </w:p>
    <w:p w:rsidR="001B0B14" w:rsidRDefault="007E7435">
      <w:pPr>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rPr>
        <w:t xml:space="preserve">Эскиз </w:t>
      </w:r>
      <w:r>
        <w:rPr>
          <w:rFonts w:ascii="Times New Roman" w:hAnsi="Times New Roman" w:cs="Times New Roman"/>
          <w:sz w:val="24"/>
          <w:szCs w:val="24"/>
        </w:rPr>
        <w:t>внешнего вида поставляемых зарядных станций переменного и постоянного тока</w:t>
      </w:r>
      <w:r>
        <w:rPr>
          <w:rFonts w:ascii="Times New Roman" w:hAnsi="Times New Roman" w:cs="Times New Roman"/>
          <w:sz w:val="24"/>
          <w:szCs w:val="24"/>
        </w:rPr>
        <w:br w:type="page"/>
      </w:r>
    </w:p>
    <w:p w:rsidR="001B0B14" w:rsidRDefault="001B0B14">
      <w:pPr>
        <w:tabs>
          <w:tab w:val="left" w:pos="7371"/>
        </w:tabs>
        <w:spacing w:after="0" w:line="240" w:lineRule="auto"/>
        <w:jc w:val="center"/>
        <w:rPr>
          <w:rFonts w:ascii="Times New Roman" w:hAnsi="Times New Roman" w:cs="Times New Roman"/>
          <w:sz w:val="28"/>
          <w:szCs w:val="28"/>
        </w:rPr>
      </w:pPr>
    </w:p>
    <w:p w:rsidR="001B0B14" w:rsidRDefault="007E7435">
      <w:pPr>
        <w:tabs>
          <w:tab w:val="left" w:pos="7371"/>
        </w:tabs>
        <w:spacing w:after="0" w:line="240" w:lineRule="auto"/>
        <w:jc w:val="center"/>
        <w:rPr>
          <w:rFonts w:ascii="Times New Roman" w:hAnsi="Times New Roman" w:cs="Times New Roman"/>
          <w:sz w:val="28"/>
          <w:szCs w:val="28"/>
        </w:rPr>
      </w:pPr>
      <w:r>
        <w:rPr>
          <w:noProof/>
          <w:lang w:eastAsia="ru-RU"/>
        </w:rPr>
        <w:drawing>
          <wp:inline distT="0" distB="0" distL="0" distR="0">
            <wp:extent cx="5940425" cy="3436620"/>
            <wp:effectExtent l="0" t="0" r="317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436620"/>
                    </a:xfrm>
                    <a:prstGeom prst="rect">
                      <a:avLst/>
                    </a:prstGeom>
                  </pic:spPr>
                </pic:pic>
              </a:graphicData>
            </a:graphic>
          </wp:inline>
        </w:drawing>
      </w:r>
    </w:p>
    <w:p w:rsidR="001B0B14" w:rsidRDefault="007E7435">
      <w:pPr>
        <w:tabs>
          <w:tab w:val="left" w:pos="7371"/>
        </w:tabs>
        <w:spacing w:after="0" w:line="240" w:lineRule="auto"/>
        <w:jc w:val="center"/>
        <w:rPr>
          <w:rFonts w:ascii="Times New Roman" w:hAnsi="Times New Roman" w:cs="Times New Roman"/>
          <w:sz w:val="28"/>
          <w:szCs w:val="28"/>
        </w:rPr>
      </w:pPr>
      <w:r>
        <w:rPr>
          <w:noProof/>
          <w:lang w:eastAsia="ru-RU"/>
        </w:rPr>
        <w:drawing>
          <wp:inline distT="0" distB="0" distL="0" distR="0">
            <wp:extent cx="5940425" cy="4930140"/>
            <wp:effectExtent l="0" t="0" r="3175" b="381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0425" cy="4930140"/>
                    </a:xfrm>
                    <a:prstGeom prst="rect">
                      <a:avLst/>
                    </a:prstGeom>
                  </pic:spPr>
                </pic:pic>
              </a:graphicData>
            </a:graphic>
          </wp:inline>
        </w:drawing>
      </w:r>
    </w:p>
    <w:p w:rsidR="001B0B14" w:rsidRDefault="007E7435">
      <w:pPr>
        <w:tabs>
          <w:tab w:val="left" w:pos="7371"/>
        </w:tabs>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Рисунок 2 </w:t>
      </w:r>
    </w:p>
    <w:p w:rsidR="001B0B14" w:rsidRDefault="007E7435">
      <w:pPr>
        <w:tabs>
          <w:tab w:val="left" w:pos="7371"/>
        </w:tabs>
        <w:spacing w:after="0" w:line="240" w:lineRule="auto"/>
        <w:jc w:val="center"/>
        <w:rPr>
          <w:rFonts w:ascii="Times New Roman" w:hAnsi="Times New Roman" w:cs="Times New Roman"/>
          <w:sz w:val="28"/>
          <w:szCs w:val="28"/>
        </w:rPr>
      </w:pPr>
      <w:r>
        <w:rPr>
          <w:rFonts w:ascii="Times New Roman" w:hAnsi="Times New Roman" w:cs="Times New Roman"/>
          <w:color w:val="000000"/>
          <w:sz w:val="24"/>
          <w:szCs w:val="24"/>
        </w:rPr>
        <w:t xml:space="preserve">Пример фундамента </w:t>
      </w:r>
      <w:r>
        <w:rPr>
          <w:rFonts w:ascii="Times New Roman" w:hAnsi="Times New Roman" w:cs="Times New Roman"/>
          <w:sz w:val="24"/>
          <w:szCs w:val="24"/>
        </w:rPr>
        <w:t>зарядных станций переменного и постоянного тока</w:t>
      </w:r>
      <w:r>
        <w:rPr>
          <w:rFonts w:ascii="Times New Roman" w:hAnsi="Times New Roman" w:cs="Times New Roman"/>
          <w:sz w:val="28"/>
          <w:szCs w:val="28"/>
        </w:rPr>
        <w:t xml:space="preserve"> </w:t>
      </w:r>
      <w:r>
        <w:rPr>
          <w:rFonts w:ascii="Times New Roman" w:hAnsi="Times New Roman" w:cs="Times New Roman"/>
          <w:sz w:val="28"/>
          <w:szCs w:val="28"/>
        </w:rPr>
        <w:br w:type="page"/>
      </w:r>
      <w:r>
        <w:rPr>
          <w:noProof/>
          <w:lang w:eastAsia="ru-RU"/>
        </w:rPr>
        <w:drawing>
          <wp:inline distT="0" distB="0" distL="0" distR="0">
            <wp:extent cx="4324350" cy="38957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4350" cy="3895725"/>
                    </a:xfrm>
                    <a:prstGeom prst="rect">
                      <a:avLst/>
                    </a:prstGeom>
                  </pic:spPr>
                </pic:pic>
              </a:graphicData>
            </a:graphic>
          </wp:inline>
        </w:drawing>
      </w:r>
    </w:p>
    <w:p w:rsidR="001B0B14" w:rsidRDefault="007E7435">
      <w:pPr>
        <w:tabs>
          <w:tab w:val="left" w:pos="7371"/>
        </w:tabs>
        <w:spacing w:after="0" w:line="240" w:lineRule="auto"/>
        <w:jc w:val="center"/>
        <w:rPr>
          <w:noProof/>
          <w:lang w:eastAsia="ru-RU"/>
        </w:rPr>
      </w:pPr>
      <w:r>
        <w:rPr>
          <w:noProof/>
          <w:lang w:eastAsia="ru-RU"/>
        </w:rPr>
        <w:t xml:space="preserve">       </w:t>
      </w:r>
      <w:r>
        <w:rPr>
          <w:noProof/>
          <w:lang w:eastAsia="ru-RU"/>
        </w:rPr>
        <w:drawing>
          <wp:inline distT="0" distB="0" distL="0" distR="0">
            <wp:extent cx="4905375" cy="25812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05375" cy="2581275"/>
                    </a:xfrm>
                    <a:prstGeom prst="rect">
                      <a:avLst/>
                    </a:prstGeom>
                  </pic:spPr>
                </pic:pic>
              </a:graphicData>
            </a:graphic>
          </wp:inline>
        </w:drawing>
      </w:r>
    </w:p>
    <w:p w:rsidR="001B0B14" w:rsidRDefault="007E7435">
      <w:pPr>
        <w:tabs>
          <w:tab w:val="left" w:pos="7371"/>
        </w:tabs>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Рисунок 3 </w:t>
      </w:r>
    </w:p>
    <w:p w:rsidR="001B0B14" w:rsidRDefault="007E7435">
      <w:pPr>
        <w:tabs>
          <w:tab w:val="left" w:pos="737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 xml:space="preserve">Пример закладной детали крепления </w:t>
      </w:r>
      <w:r>
        <w:rPr>
          <w:rFonts w:ascii="Times New Roman" w:hAnsi="Times New Roman" w:cs="Times New Roman"/>
          <w:sz w:val="24"/>
          <w:szCs w:val="24"/>
        </w:rPr>
        <w:t>зарядных станций переменного и постоянного тока</w:t>
      </w:r>
    </w:p>
    <w:p w:rsidR="001B0B14" w:rsidRDefault="001B0B14">
      <w:pPr>
        <w:spacing w:after="0" w:line="240" w:lineRule="auto"/>
        <w:jc w:val="both"/>
        <w:rPr>
          <w:rFonts w:ascii="Times New Roman" w:eastAsia="Times New Roman" w:hAnsi="Times New Roman" w:cs="Times New Roman"/>
          <w:b/>
          <w:bCs/>
          <w:color w:val="000000" w:themeColor="text1"/>
          <w:sz w:val="24"/>
          <w:szCs w:val="24"/>
          <w:lang w:eastAsia="ru-RU"/>
        </w:rPr>
      </w:pPr>
    </w:p>
    <w:p w:rsidR="001B0B14" w:rsidRDefault="001B0B14">
      <w:pPr>
        <w:spacing w:after="0" w:line="240" w:lineRule="auto"/>
        <w:ind w:firstLine="567"/>
        <w:jc w:val="both"/>
        <w:rPr>
          <w:rFonts w:ascii="Times New Roman" w:hAnsi="Times New Roman" w:cs="Times New Roman"/>
          <w:color w:val="000000" w:themeColor="text1"/>
          <w:sz w:val="24"/>
          <w:szCs w:val="24"/>
        </w:rPr>
      </w:pPr>
    </w:p>
    <w:p w:rsidR="001B0B14" w:rsidRDefault="001B0B14">
      <w:pPr>
        <w:spacing w:after="0" w:line="240" w:lineRule="auto"/>
        <w:ind w:firstLine="567"/>
        <w:jc w:val="both"/>
        <w:rPr>
          <w:rFonts w:ascii="Times New Roman" w:hAnsi="Times New Roman" w:cs="Times New Roman"/>
          <w:color w:val="000000" w:themeColor="text1"/>
          <w:sz w:val="24"/>
          <w:szCs w:val="24"/>
        </w:rPr>
      </w:pPr>
    </w:p>
    <w:p w:rsidR="001B0B14" w:rsidRDefault="001B0B14">
      <w:pPr>
        <w:spacing w:after="0" w:line="240" w:lineRule="auto"/>
        <w:ind w:firstLine="567"/>
        <w:jc w:val="both"/>
        <w:rPr>
          <w:rFonts w:ascii="Times New Roman" w:hAnsi="Times New Roman" w:cs="Times New Roman"/>
          <w:b/>
          <w:color w:val="000000" w:themeColor="text1"/>
          <w:sz w:val="24"/>
          <w:szCs w:val="24"/>
        </w:rPr>
      </w:pPr>
    </w:p>
    <w:p w:rsidR="001B0B14" w:rsidRDefault="007E7435">
      <w:pPr>
        <w:spacing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rsidR="001B0B14" w:rsidRDefault="007E7435">
      <w:pPr>
        <w:pStyle w:val="1"/>
        <w:spacing w:line="240" w:lineRule="auto"/>
        <w:jc w:val="right"/>
        <w:rPr>
          <w:rFonts w:ascii="Times New Roman" w:eastAsia="Times New Roman" w:hAnsi="Times New Roman" w:cs="Times New Roman"/>
          <w:b/>
          <w:color w:val="000000" w:themeColor="text1"/>
          <w:sz w:val="24"/>
          <w:lang w:eastAsia="ru-RU"/>
        </w:rPr>
      </w:pPr>
      <w:r>
        <w:rPr>
          <w:rFonts w:ascii="Times New Roman" w:eastAsia="Times New Roman" w:hAnsi="Times New Roman" w:cs="Times New Roman"/>
          <w:b/>
          <w:color w:val="000000" w:themeColor="text1"/>
          <w:sz w:val="24"/>
          <w:lang w:eastAsia="ru-RU"/>
        </w:rPr>
        <w:t>Приложение 2</w:t>
      </w:r>
    </w:p>
    <w:p w:rsidR="001B0B14" w:rsidRDefault="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 xml:space="preserve">к техническому заданию на поставку ЭЗС </w:t>
      </w:r>
    </w:p>
    <w:p w:rsidR="001B0B14" w:rsidRDefault="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для нужд АО «Энергосервис Волги»</w:t>
      </w:r>
    </w:p>
    <w:p w:rsidR="001B0B14" w:rsidRDefault="001B0B14">
      <w:pPr>
        <w:spacing w:line="240" w:lineRule="auto"/>
        <w:rPr>
          <w:color w:val="000000" w:themeColor="text1"/>
          <w:lang w:eastAsia="ru-RU"/>
        </w:rPr>
      </w:pPr>
    </w:p>
    <w:p w:rsidR="001B0B14" w:rsidRDefault="001B0B14">
      <w:pPr>
        <w:spacing w:after="0" w:line="240" w:lineRule="auto"/>
        <w:ind w:firstLine="567"/>
        <w:jc w:val="both"/>
        <w:rPr>
          <w:rFonts w:ascii="Times New Roman" w:eastAsia="Times New Roman" w:hAnsi="Times New Roman" w:cs="Times New Roman"/>
          <w:b/>
          <w:bCs/>
          <w:color w:val="000000" w:themeColor="text1"/>
          <w:sz w:val="24"/>
          <w:szCs w:val="24"/>
          <w:lang w:eastAsia="ru-RU"/>
        </w:rPr>
      </w:pPr>
    </w:p>
    <w:p w:rsidR="001B0B14" w:rsidRDefault="007E7435">
      <w:pPr>
        <w:spacing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ЛОГОТИП БРЕНДА</w:t>
      </w:r>
    </w:p>
    <w:p w:rsidR="001B0B14" w:rsidRDefault="007E7435">
      <w:pPr>
        <w:spacing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(обязательный)</w:t>
      </w:r>
    </w:p>
    <w:p w:rsidR="001B0B14" w:rsidRDefault="007E7435">
      <w:pPr>
        <w:spacing w:line="240" w:lineRule="auto"/>
        <w:jc w:val="center"/>
        <w:rPr>
          <w:rFonts w:ascii="Times New Roman" w:hAnsi="Times New Roman"/>
          <w:b/>
          <w:color w:val="000000" w:themeColor="text1"/>
          <w:sz w:val="28"/>
          <w:szCs w:val="28"/>
        </w:rPr>
      </w:pPr>
      <w:r>
        <w:rPr>
          <w:rFonts w:ascii="Times New Roman" w:hAnsi="Times New Roman"/>
          <w:b/>
          <w:noProof/>
          <w:color w:val="000000" w:themeColor="text1"/>
          <w:sz w:val="28"/>
          <w:szCs w:val="28"/>
          <w:lang w:eastAsia="ru-RU"/>
        </w:rPr>
        <w:drawing>
          <wp:inline distT="0" distB="0" distL="0" distR="0">
            <wp:extent cx="6022975" cy="37814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2975" cy="3781425"/>
                    </a:xfrm>
                    <a:prstGeom prst="rect">
                      <a:avLst/>
                    </a:prstGeom>
                    <a:noFill/>
                    <a:ln>
                      <a:noFill/>
                    </a:ln>
                  </pic:spPr>
                </pic:pic>
              </a:graphicData>
            </a:graphic>
          </wp:inline>
        </w:drawing>
      </w:r>
    </w:p>
    <w:p w:rsidR="001B0B14" w:rsidRDefault="001B0B14">
      <w:pPr>
        <w:spacing w:line="240" w:lineRule="auto"/>
        <w:jc w:val="center"/>
        <w:rPr>
          <w:rFonts w:ascii="Times New Roman" w:hAnsi="Times New Roman"/>
          <w:b/>
          <w:color w:val="000000" w:themeColor="text1"/>
          <w:sz w:val="28"/>
          <w:szCs w:val="28"/>
        </w:rPr>
      </w:pPr>
    </w:p>
    <w:p w:rsidR="001B0B14" w:rsidRDefault="007E7435">
      <w:pPr>
        <w:spacing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rsidR="001B0B14" w:rsidRDefault="007E7435">
      <w:pPr>
        <w:pStyle w:val="1"/>
        <w:spacing w:line="240" w:lineRule="auto"/>
        <w:jc w:val="right"/>
        <w:rPr>
          <w:rFonts w:ascii="Times New Roman" w:eastAsia="Times New Roman" w:hAnsi="Times New Roman" w:cs="Times New Roman"/>
          <w:b/>
          <w:color w:val="000000" w:themeColor="text1"/>
          <w:sz w:val="24"/>
          <w:lang w:eastAsia="ru-RU"/>
        </w:rPr>
      </w:pPr>
      <w:r>
        <w:rPr>
          <w:rFonts w:ascii="Times New Roman" w:eastAsia="Times New Roman" w:hAnsi="Times New Roman" w:cs="Times New Roman"/>
          <w:b/>
          <w:color w:val="000000" w:themeColor="text1"/>
          <w:sz w:val="24"/>
          <w:lang w:eastAsia="ru-RU"/>
        </w:rPr>
        <w:t>Приложение 3</w:t>
      </w:r>
    </w:p>
    <w:p w:rsidR="001B0B14" w:rsidRDefault="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 xml:space="preserve">к техническому заданию на поставку ЭЗС </w:t>
      </w:r>
    </w:p>
    <w:p w:rsidR="001B0B14" w:rsidRDefault="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для нужд АО «Энергосервис Волги»</w:t>
      </w:r>
    </w:p>
    <w:p w:rsidR="001B0B14" w:rsidRDefault="001B0B14">
      <w:pPr>
        <w:spacing w:line="240" w:lineRule="auto"/>
        <w:rPr>
          <w:color w:val="000000" w:themeColor="text1"/>
          <w:lang w:eastAsia="ru-RU"/>
        </w:rPr>
      </w:pPr>
    </w:p>
    <w:p w:rsidR="001B0B14" w:rsidRDefault="001B0B14">
      <w:pPr>
        <w:spacing w:after="0" w:line="240" w:lineRule="auto"/>
        <w:ind w:firstLine="567"/>
        <w:jc w:val="both"/>
        <w:rPr>
          <w:rFonts w:ascii="Times New Roman" w:eastAsia="Times New Roman" w:hAnsi="Times New Roman" w:cs="Times New Roman"/>
          <w:b/>
          <w:bCs/>
          <w:color w:val="000000" w:themeColor="text1"/>
          <w:sz w:val="24"/>
          <w:szCs w:val="24"/>
          <w:lang w:eastAsia="ru-RU"/>
        </w:rPr>
      </w:pPr>
    </w:p>
    <w:p w:rsidR="001B0B14" w:rsidRDefault="007E7435">
      <w:pPr>
        <w:spacing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ПРИМЕР ИНСТРУКЦИИ ПОЛЬЗОВАТЕЛЯ</w:t>
      </w:r>
    </w:p>
    <w:p w:rsidR="001B0B14" w:rsidRDefault="007E7435">
      <w:pPr>
        <w:spacing w:line="240" w:lineRule="auto"/>
        <w:jc w:val="center"/>
        <w:rPr>
          <w:noProof/>
          <w:color w:val="000000" w:themeColor="text1"/>
        </w:rPr>
      </w:pPr>
      <w:r>
        <w:rPr>
          <w:rFonts w:ascii="Times New Roman" w:hAnsi="Times New Roman"/>
          <w:b/>
          <w:color w:val="000000" w:themeColor="text1"/>
          <w:sz w:val="28"/>
          <w:szCs w:val="28"/>
        </w:rPr>
        <w:t>(цветовое решение выбирается исходя из цвета корпуса зарядной станции)</w:t>
      </w:r>
      <w:r>
        <w:rPr>
          <w:noProof/>
          <w:color w:val="000000" w:themeColor="text1"/>
        </w:rPr>
        <w:t xml:space="preserve"> </w:t>
      </w:r>
    </w:p>
    <w:p w:rsidR="001B0B14" w:rsidRDefault="007E7435">
      <w:pPr>
        <w:spacing w:line="240" w:lineRule="auto"/>
        <w:jc w:val="center"/>
        <w:rPr>
          <w:rFonts w:ascii="Times New Roman" w:hAnsi="Times New Roman" w:cs="Times New Roman"/>
          <w:noProof/>
          <w:color w:val="000000" w:themeColor="text1"/>
        </w:rPr>
      </w:pPr>
      <w:r>
        <w:rPr>
          <w:rFonts w:ascii="Times New Roman" w:hAnsi="Times New Roman" w:cs="Times New Roman"/>
          <w:noProof/>
          <w:color w:val="000000" w:themeColor="text1"/>
        </w:rPr>
        <w:t>(изготавливается на износостойкой основе)</w:t>
      </w:r>
    </w:p>
    <w:p w:rsidR="001B0B14" w:rsidRDefault="007E7435">
      <w:pPr>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(рекомендуемый вид)</w:t>
      </w:r>
    </w:p>
    <w:p w:rsidR="001B0B14" w:rsidRDefault="001B0B14">
      <w:pPr>
        <w:spacing w:after="0" w:line="240" w:lineRule="auto"/>
        <w:jc w:val="center"/>
        <w:rPr>
          <w:rFonts w:ascii="Times New Roman" w:eastAsia="Times New Roman" w:hAnsi="Times New Roman" w:cs="Times New Roman"/>
          <w:b/>
          <w:bCs/>
          <w:color w:val="000000" w:themeColor="text1"/>
          <w:sz w:val="24"/>
          <w:szCs w:val="24"/>
          <w:lang w:eastAsia="ru-RU"/>
        </w:rPr>
      </w:pPr>
    </w:p>
    <w:p w:rsidR="001B0B14" w:rsidRDefault="007E7435">
      <w:pPr>
        <w:spacing w:line="240" w:lineRule="auto"/>
        <w:jc w:val="center"/>
        <w:rPr>
          <w:rFonts w:ascii="Times New Roman" w:hAnsi="Times New Roman"/>
          <w:b/>
          <w:color w:val="000000" w:themeColor="text1"/>
          <w:sz w:val="28"/>
          <w:szCs w:val="28"/>
        </w:rPr>
      </w:pPr>
      <w:r>
        <w:rPr>
          <w:noProof/>
          <w:color w:val="000000" w:themeColor="text1"/>
          <w:lang w:eastAsia="ru-RU"/>
        </w:rPr>
        <w:drawing>
          <wp:inline distT="0" distB="0" distL="0" distR="0">
            <wp:extent cx="4663941" cy="6586430"/>
            <wp:effectExtent l="0" t="0" r="3810" b="508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l="34084" t="17928" r="35834" b="6371"/>
                    <a:stretch>
                      <a:fillRect/>
                    </a:stretch>
                  </pic:blipFill>
                  <pic:spPr bwMode="auto">
                    <a:xfrm>
                      <a:off x="0" y="0"/>
                      <a:ext cx="4672433" cy="6598422"/>
                    </a:xfrm>
                    <a:prstGeom prst="rect">
                      <a:avLst/>
                    </a:prstGeom>
                    <a:noFill/>
                    <a:ln>
                      <a:noFill/>
                    </a:ln>
                  </pic:spPr>
                </pic:pic>
              </a:graphicData>
            </a:graphic>
          </wp:inline>
        </w:drawing>
      </w:r>
    </w:p>
    <w:p w:rsidR="001B0B14" w:rsidRDefault="007E7435">
      <w:pPr>
        <w:spacing w:after="0" w:line="240" w:lineRule="auto"/>
        <w:ind w:firstLine="567"/>
        <w:jc w:val="both"/>
        <w:rPr>
          <w:rFonts w:ascii="Times New Roman" w:hAnsi="Times New Roman"/>
          <w:color w:val="000000" w:themeColor="text1"/>
          <w:sz w:val="24"/>
          <w:szCs w:val="28"/>
          <w:lang w:eastAsia="ru-RU"/>
        </w:rPr>
      </w:pPr>
      <w:r>
        <w:rPr>
          <w:rFonts w:ascii="Times New Roman" w:hAnsi="Times New Roman"/>
          <w:color w:val="000000" w:themeColor="text1"/>
          <w:sz w:val="24"/>
          <w:szCs w:val="28"/>
          <w:lang w:eastAsia="ru-RU"/>
        </w:rPr>
        <w:br w:type="page"/>
      </w:r>
    </w:p>
    <w:p w:rsidR="001B0B14" w:rsidRDefault="007E7435">
      <w:pPr>
        <w:pStyle w:val="1"/>
        <w:spacing w:line="240" w:lineRule="auto"/>
        <w:jc w:val="right"/>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sz w:val="24"/>
          <w:lang w:eastAsia="ru-RU"/>
        </w:rPr>
        <w:t>Приложение 4</w:t>
      </w:r>
    </w:p>
    <w:p w:rsidR="001B0B14" w:rsidRDefault="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 xml:space="preserve">к техническому заданию на поставку ЭЗС </w:t>
      </w:r>
    </w:p>
    <w:p w:rsidR="007E7435" w:rsidRDefault="007E7435" w:rsidP="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для нужд АО «Энергосервис Волги»</w:t>
      </w:r>
    </w:p>
    <w:p w:rsidR="007E7435" w:rsidRDefault="007E7435" w:rsidP="007E7435">
      <w:pPr>
        <w:spacing w:after="0" w:line="240" w:lineRule="auto"/>
        <w:jc w:val="right"/>
        <w:rPr>
          <w:rFonts w:ascii="Times New Roman" w:hAnsi="Times New Roman" w:cs="Times New Roman"/>
          <w:color w:val="000000" w:themeColor="text1"/>
          <w:sz w:val="24"/>
          <w:lang w:eastAsia="ru-RU"/>
        </w:rPr>
      </w:pPr>
    </w:p>
    <w:p w:rsidR="001B0B14" w:rsidRDefault="007E7435" w:rsidP="007E7435">
      <w:pPr>
        <w:spacing w:after="0" w:line="240" w:lineRule="auto"/>
        <w:jc w:val="right"/>
        <w:rPr>
          <w:rFonts w:ascii="Times New Roman" w:hAnsi="Times New Roman"/>
          <w:b/>
          <w:color w:val="000000" w:themeColor="text1"/>
          <w:sz w:val="28"/>
          <w:szCs w:val="28"/>
        </w:rPr>
      </w:pPr>
      <w:r>
        <w:rPr>
          <w:rFonts w:ascii="Times New Roman" w:hAnsi="Times New Roman"/>
          <w:b/>
          <w:color w:val="000000" w:themeColor="text1"/>
          <w:sz w:val="28"/>
          <w:szCs w:val="28"/>
        </w:rPr>
        <w:t>ПРИМЕР ОФОРМЛЕНИЯ ПАРКОВОЧНОГО ПРОСТРАНСТВА ДОРОЖНЫМИ ЗНАКАМИ И РАЗМЕТКОЙ</w:t>
      </w:r>
    </w:p>
    <w:p w:rsidR="001B0B14" w:rsidRDefault="007E7435">
      <w:pPr>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(рекомендуемый вид)</w:t>
      </w:r>
    </w:p>
    <w:p w:rsidR="001B0B14" w:rsidRDefault="007E7435">
      <w:pPr>
        <w:tabs>
          <w:tab w:val="left" w:pos="4860"/>
          <w:tab w:val="left" w:pos="8640"/>
          <w:tab w:val="left" w:pos="9360"/>
        </w:tabs>
        <w:spacing w:after="0" w:line="240" w:lineRule="auto"/>
        <w:ind w:right="-5"/>
        <w:jc w:val="center"/>
        <w:rPr>
          <w:rFonts w:ascii="Times New Roman" w:hAnsi="Times New Roman"/>
          <w:color w:val="000000" w:themeColor="text1"/>
          <w:sz w:val="28"/>
          <w:szCs w:val="28"/>
          <w:lang w:eastAsia="ru-RU"/>
        </w:rPr>
      </w:pPr>
      <w:r>
        <w:rPr>
          <w:rFonts w:ascii="Times New Roman" w:hAnsi="Times New Roman"/>
          <w:noProof/>
          <w:color w:val="000000" w:themeColor="text1"/>
          <w:sz w:val="28"/>
          <w:szCs w:val="28"/>
          <w:lang w:eastAsia="ru-RU"/>
        </w:rPr>
        <w:drawing>
          <wp:inline distT="0" distB="0" distL="0" distR="0">
            <wp:extent cx="5639587" cy="3953427"/>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39587" cy="3953427"/>
                    </a:xfrm>
                    <a:prstGeom prst="rect">
                      <a:avLst/>
                    </a:prstGeom>
                  </pic:spPr>
                </pic:pic>
              </a:graphicData>
            </a:graphic>
          </wp:inline>
        </w:drawing>
      </w:r>
    </w:p>
    <w:p w:rsidR="001B0B14" w:rsidRDefault="007E7435">
      <w:pPr>
        <w:tabs>
          <w:tab w:val="left" w:pos="4860"/>
          <w:tab w:val="left" w:pos="8640"/>
          <w:tab w:val="left" w:pos="9360"/>
        </w:tabs>
        <w:spacing w:after="0" w:line="240" w:lineRule="auto"/>
        <w:ind w:right="-5"/>
        <w:jc w:val="center"/>
        <w:rPr>
          <w:rFonts w:ascii="Times New Roman" w:hAnsi="Times New Roman"/>
          <w:color w:val="000000" w:themeColor="text1"/>
          <w:sz w:val="28"/>
          <w:szCs w:val="28"/>
          <w:lang w:eastAsia="ru-RU"/>
        </w:rPr>
      </w:pPr>
      <w:r>
        <w:rPr>
          <w:rFonts w:ascii="Times New Roman" w:hAnsi="Times New Roman"/>
          <w:noProof/>
          <w:color w:val="000000" w:themeColor="text1"/>
          <w:sz w:val="28"/>
          <w:szCs w:val="28"/>
          <w:lang w:eastAsia="ru-RU"/>
        </w:rPr>
        <w:drawing>
          <wp:inline distT="0" distB="0" distL="0" distR="0">
            <wp:extent cx="5268060" cy="3581900"/>
            <wp:effectExtent l="0" t="0" r="889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68060" cy="3581900"/>
                    </a:xfrm>
                    <a:prstGeom prst="rect">
                      <a:avLst/>
                    </a:prstGeom>
                  </pic:spPr>
                </pic:pic>
              </a:graphicData>
            </a:graphic>
          </wp:inline>
        </w:drawing>
      </w:r>
    </w:p>
    <w:p w:rsidR="001B0B14" w:rsidRDefault="001B0B14">
      <w:pPr>
        <w:tabs>
          <w:tab w:val="left" w:pos="4860"/>
          <w:tab w:val="left" w:pos="8640"/>
          <w:tab w:val="left" w:pos="9360"/>
        </w:tabs>
        <w:spacing w:after="0" w:line="240" w:lineRule="auto"/>
        <w:ind w:right="-5"/>
        <w:jc w:val="center"/>
        <w:rPr>
          <w:rFonts w:ascii="Times New Roman" w:hAnsi="Times New Roman"/>
          <w:color w:val="000000" w:themeColor="text1"/>
          <w:sz w:val="28"/>
          <w:szCs w:val="28"/>
          <w:lang w:eastAsia="ru-RU"/>
        </w:rPr>
      </w:pPr>
    </w:p>
    <w:p w:rsidR="001B0B14" w:rsidRDefault="007E7435">
      <w:pPr>
        <w:spacing w:after="0" w:line="240" w:lineRule="auto"/>
        <w:jc w:val="right"/>
        <w:rPr>
          <w:rFonts w:ascii="Times New Roman" w:hAnsi="Times New Roman" w:cs="Times New Roman"/>
          <w:b/>
          <w:color w:val="000000" w:themeColor="text1"/>
          <w:sz w:val="24"/>
          <w:lang w:eastAsia="ru-RU"/>
        </w:rPr>
      </w:pPr>
      <w:r>
        <w:rPr>
          <w:rFonts w:ascii="Times New Roman" w:hAnsi="Times New Roman" w:cs="Times New Roman"/>
          <w:b/>
          <w:color w:val="000000" w:themeColor="text1"/>
          <w:sz w:val="24"/>
          <w:lang w:eastAsia="ru-RU"/>
        </w:rPr>
        <w:t>Приложение 4 (продолжение)</w:t>
      </w:r>
    </w:p>
    <w:p w:rsidR="001B0B14" w:rsidRDefault="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 xml:space="preserve">к техническому заданию на поставку ЭЗС </w:t>
      </w:r>
    </w:p>
    <w:p w:rsidR="007E7435" w:rsidRDefault="007E7435" w:rsidP="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для нужд АО «Энергосервис Волги»</w:t>
      </w:r>
    </w:p>
    <w:p w:rsidR="001B0B14" w:rsidRDefault="001B0B14">
      <w:pPr>
        <w:spacing w:after="0" w:line="240" w:lineRule="auto"/>
        <w:jc w:val="right"/>
        <w:rPr>
          <w:rFonts w:ascii="Times New Roman" w:hAnsi="Times New Roman" w:cs="Times New Roman"/>
          <w:color w:val="000000" w:themeColor="text1"/>
          <w:sz w:val="24"/>
          <w:lang w:eastAsia="ru-RU"/>
        </w:rPr>
      </w:pPr>
    </w:p>
    <w:p w:rsidR="001B0B14" w:rsidRDefault="001B0B14">
      <w:pPr>
        <w:tabs>
          <w:tab w:val="left" w:pos="4860"/>
          <w:tab w:val="left" w:pos="8640"/>
          <w:tab w:val="left" w:pos="9360"/>
        </w:tabs>
        <w:spacing w:after="0" w:line="240" w:lineRule="auto"/>
        <w:ind w:right="-5"/>
        <w:jc w:val="center"/>
        <w:rPr>
          <w:rFonts w:ascii="Times New Roman" w:hAnsi="Times New Roman"/>
          <w:color w:val="000000" w:themeColor="text1"/>
          <w:sz w:val="28"/>
          <w:szCs w:val="28"/>
          <w:lang w:eastAsia="ru-RU"/>
        </w:rPr>
      </w:pPr>
    </w:p>
    <w:p w:rsidR="001B0B14" w:rsidRDefault="007E7435">
      <w:pPr>
        <w:tabs>
          <w:tab w:val="left" w:pos="4860"/>
          <w:tab w:val="left" w:pos="8640"/>
          <w:tab w:val="left" w:pos="9360"/>
        </w:tabs>
        <w:spacing w:after="0" w:line="240" w:lineRule="auto"/>
        <w:ind w:right="-5"/>
        <w:jc w:val="center"/>
        <w:rPr>
          <w:rFonts w:ascii="Times New Roman" w:hAnsi="Times New Roman"/>
          <w:color w:val="000000" w:themeColor="text1"/>
          <w:sz w:val="28"/>
          <w:szCs w:val="28"/>
          <w:lang w:eastAsia="ru-RU"/>
        </w:rPr>
      </w:pPr>
      <w:r>
        <w:rPr>
          <w:rFonts w:ascii="Times New Roman" w:hAnsi="Times New Roman"/>
          <w:noProof/>
          <w:color w:val="000000" w:themeColor="text1"/>
          <w:sz w:val="28"/>
          <w:szCs w:val="28"/>
          <w:lang w:eastAsia="ru-RU"/>
        </w:rPr>
        <w:drawing>
          <wp:inline distT="0" distB="0" distL="0" distR="0">
            <wp:extent cx="5755640" cy="383095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5640" cy="3830955"/>
                    </a:xfrm>
                    <a:prstGeom prst="rect">
                      <a:avLst/>
                    </a:prstGeom>
                    <a:noFill/>
                    <a:ln>
                      <a:noFill/>
                    </a:ln>
                  </pic:spPr>
                </pic:pic>
              </a:graphicData>
            </a:graphic>
          </wp:inline>
        </w:drawing>
      </w:r>
    </w:p>
    <w:p w:rsidR="001B0B14" w:rsidRDefault="007E7435">
      <w:pPr>
        <w:spacing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rsidR="001B0B14" w:rsidRDefault="007E7435">
      <w:pPr>
        <w:spacing w:after="0" w:line="240" w:lineRule="auto"/>
        <w:jc w:val="right"/>
        <w:rPr>
          <w:rFonts w:ascii="Times New Roman" w:hAnsi="Times New Roman" w:cs="Times New Roman"/>
          <w:b/>
          <w:color w:val="000000" w:themeColor="text1"/>
          <w:sz w:val="24"/>
          <w:lang w:eastAsia="ru-RU"/>
        </w:rPr>
      </w:pPr>
      <w:r>
        <w:rPr>
          <w:rFonts w:ascii="Times New Roman" w:hAnsi="Times New Roman" w:cs="Times New Roman"/>
          <w:b/>
          <w:color w:val="000000" w:themeColor="text1"/>
          <w:sz w:val="24"/>
          <w:lang w:eastAsia="ru-RU"/>
        </w:rPr>
        <w:t>Приложение 5</w:t>
      </w:r>
    </w:p>
    <w:p w:rsidR="001B0B14" w:rsidRDefault="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 xml:space="preserve">к техническому заданию на поставку ЭЗС </w:t>
      </w:r>
    </w:p>
    <w:p w:rsidR="007E7435" w:rsidRDefault="007E7435" w:rsidP="007E7435">
      <w:pPr>
        <w:spacing w:after="0" w:line="240" w:lineRule="auto"/>
        <w:jc w:val="right"/>
        <w:rPr>
          <w:rFonts w:ascii="Times New Roman" w:hAnsi="Times New Roman" w:cs="Times New Roman"/>
          <w:color w:val="000000" w:themeColor="text1"/>
          <w:sz w:val="24"/>
          <w:lang w:eastAsia="ru-RU"/>
        </w:rPr>
      </w:pPr>
      <w:r>
        <w:rPr>
          <w:rFonts w:ascii="Times New Roman" w:hAnsi="Times New Roman" w:cs="Times New Roman"/>
          <w:color w:val="000000" w:themeColor="text1"/>
          <w:sz w:val="24"/>
          <w:lang w:eastAsia="ru-RU"/>
        </w:rPr>
        <w:t>для нужд АО «Энергосервис Волги»</w:t>
      </w:r>
    </w:p>
    <w:p w:rsidR="001B0B14" w:rsidRDefault="001B0B14" w:rsidP="007E7435">
      <w:pPr>
        <w:spacing w:after="0" w:line="240" w:lineRule="auto"/>
        <w:jc w:val="right"/>
        <w:rPr>
          <w:rFonts w:ascii="Times New Roman" w:hAnsi="Times New Roman" w:cs="Times New Roman"/>
          <w:b/>
          <w:color w:val="000000" w:themeColor="text1"/>
          <w:sz w:val="24"/>
          <w:szCs w:val="24"/>
        </w:rPr>
      </w:pPr>
    </w:p>
    <w:p w:rsidR="001B0B14" w:rsidRDefault="001B0B14">
      <w:pPr>
        <w:spacing w:after="0" w:line="240" w:lineRule="auto"/>
        <w:ind w:firstLine="567"/>
        <w:jc w:val="center"/>
        <w:rPr>
          <w:rFonts w:ascii="Times New Roman" w:hAnsi="Times New Roman" w:cs="Times New Roman"/>
          <w:b/>
          <w:color w:val="000000" w:themeColor="text1"/>
          <w:sz w:val="24"/>
          <w:szCs w:val="24"/>
        </w:rPr>
      </w:pPr>
    </w:p>
    <w:p w:rsidR="001B0B14" w:rsidRDefault="007E7435">
      <w:pPr>
        <w:spacing w:line="240" w:lineRule="auto"/>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ПРОГРАММА И МЕТОДИКА</w:t>
      </w:r>
    </w:p>
    <w:p w:rsidR="001B0B14" w:rsidRDefault="007E7435">
      <w:pPr>
        <w:spacing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приемочных испытаний</w:t>
      </w:r>
    </w:p>
    <w:p w:rsidR="001B0B14" w:rsidRDefault="007E7435">
      <w:pPr>
        <w:spacing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зарядных станций постоянного тока до 100 кВт</w:t>
      </w:r>
    </w:p>
    <w:p w:rsidR="001B0B14" w:rsidRDefault="007E7435">
      <w:pPr>
        <w:spacing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(отдельный документ)</w:t>
      </w:r>
    </w:p>
    <w:sectPr w:rsidR="001B0B14">
      <w:pgSz w:w="11906" w:h="16838"/>
      <w:pgMar w:top="1134" w:right="624" w:bottom="113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86D30" w16cex:dateUtc="2021-07-01T13:34:00Z"/>
  <w16cex:commentExtensible w16cex:durableId="24886DC8" w16cex:dateUtc="2021-07-01T13:37:00Z"/>
  <w16cex:commentExtensible w16cex:durableId="248870A9" w16cex:dateUtc="2021-07-01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52F78F" w16cid:durableId="24886D30"/>
  <w16cid:commentId w16cid:paraId="4DB19B9B" w16cid:durableId="24886DC8"/>
  <w16cid:commentId w16cid:paraId="79C02644" w16cid:durableId="248870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435" w:rsidRDefault="007E7435">
      <w:pPr>
        <w:spacing w:after="0" w:line="240" w:lineRule="auto"/>
      </w:pPr>
      <w:r>
        <w:separator/>
      </w:r>
    </w:p>
  </w:endnote>
  <w:endnote w:type="continuationSeparator" w:id="0">
    <w:p w:rsidR="007E7435" w:rsidRDefault="007E7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435" w:rsidRDefault="007E7435">
      <w:pPr>
        <w:spacing w:after="0" w:line="240" w:lineRule="auto"/>
      </w:pPr>
      <w:r>
        <w:separator/>
      </w:r>
    </w:p>
  </w:footnote>
  <w:footnote w:type="continuationSeparator" w:id="0">
    <w:p w:rsidR="007E7435" w:rsidRDefault="007E74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E900647C"/>
    <w:lvl w:ilvl="0">
      <w:start w:val="1"/>
      <w:numFmt w:val="decimal"/>
      <w:lvlText w:val="%1."/>
      <w:lvlJc w:val="left"/>
      <w:rPr>
        <w:b/>
        <w:bCs/>
        <w:i w:val="0"/>
        <w:iCs w:val="0"/>
        <w:smallCaps w:val="0"/>
        <w:strike w:val="0"/>
        <w:color w:val="auto"/>
        <w:spacing w:val="0"/>
        <w:w w:val="100"/>
        <w:position w:val="0"/>
        <w:sz w:val="24"/>
        <w:szCs w:val="24"/>
        <w:u w:val="none"/>
      </w:rPr>
    </w:lvl>
    <w:lvl w:ilvl="1">
      <w:start w:val="1"/>
      <w:numFmt w:val="decimal"/>
      <w:lvlText w:val="%1.%2."/>
      <w:lvlJc w:val="left"/>
      <w:rPr>
        <w:b/>
        <w:bCs w:val="0"/>
        <w:i w:val="0"/>
        <w:iCs w:val="0"/>
        <w:smallCaps w:val="0"/>
        <w:strike w:val="0"/>
        <w:color w:val="000000"/>
        <w:spacing w:val="0"/>
        <w:w w:val="100"/>
        <w:position w:val="0"/>
        <w:sz w:val="24"/>
        <w:szCs w:val="24"/>
        <w:u w:val="none"/>
      </w:rPr>
    </w:lvl>
    <w:lvl w:ilvl="2">
      <w:start w:val="1"/>
      <w:numFmt w:val="decimal"/>
      <w:lvlText w:val="%1.%2.%3"/>
      <w:lvlJc w:val="left"/>
      <w:rPr>
        <w:b w:val="0"/>
        <w:bCs w:val="0"/>
        <w:i w:val="0"/>
        <w:iCs w:val="0"/>
        <w:smallCaps w:val="0"/>
        <w:strike w:val="0"/>
        <w:color w:val="000000"/>
        <w:spacing w:val="0"/>
        <w:w w:val="100"/>
        <w:position w:val="0"/>
        <w:sz w:val="22"/>
        <w:szCs w:val="22"/>
        <w:u w:val="none"/>
      </w:rPr>
    </w:lvl>
    <w:lvl w:ilvl="3">
      <w:start w:val="1"/>
      <w:numFmt w:val="decimal"/>
      <w:lvlText w:val="%1.%2.%3"/>
      <w:lvlJc w:val="left"/>
      <w:rPr>
        <w:b w:val="0"/>
        <w:bCs w:val="0"/>
        <w:i w:val="0"/>
        <w:iCs w:val="0"/>
        <w:smallCaps w:val="0"/>
        <w:strike w:val="0"/>
        <w:color w:val="000000"/>
        <w:spacing w:val="0"/>
        <w:w w:val="100"/>
        <w:position w:val="0"/>
        <w:sz w:val="22"/>
        <w:szCs w:val="22"/>
        <w:u w:val="none"/>
      </w:rPr>
    </w:lvl>
    <w:lvl w:ilvl="4">
      <w:start w:val="1"/>
      <w:numFmt w:val="decimal"/>
      <w:lvlText w:val="%1.%2.%3"/>
      <w:lvlJc w:val="left"/>
      <w:rPr>
        <w:b w:val="0"/>
        <w:bCs w:val="0"/>
        <w:i w:val="0"/>
        <w:iCs w:val="0"/>
        <w:smallCaps w:val="0"/>
        <w:strike w:val="0"/>
        <w:color w:val="000000"/>
        <w:spacing w:val="0"/>
        <w:w w:val="100"/>
        <w:position w:val="0"/>
        <w:sz w:val="22"/>
        <w:szCs w:val="22"/>
        <w:u w:val="none"/>
      </w:rPr>
    </w:lvl>
    <w:lvl w:ilvl="5">
      <w:start w:val="1"/>
      <w:numFmt w:val="decimal"/>
      <w:lvlText w:val="%1.%2.%3"/>
      <w:lvlJc w:val="left"/>
      <w:rPr>
        <w:b w:val="0"/>
        <w:bCs w:val="0"/>
        <w:i w:val="0"/>
        <w:iCs w:val="0"/>
        <w:smallCaps w:val="0"/>
        <w:strike w:val="0"/>
        <w:color w:val="000000"/>
        <w:spacing w:val="0"/>
        <w:w w:val="100"/>
        <w:position w:val="0"/>
        <w:sz w:val="22"/>
        <w:szCs w:val="22"/>
        <w:u w:val="none"/>
      </w:rPr>
    </w:lvl>
    <w:lvl w:ilvl="6">
      <w:start w:val="1"/>
      <w:numFmt w:val="decimal"/>
      <w:lvlText w:val="%1.%2.%3"/>
      <w:lvlJc w:val="left"/>
      <w:rPr>
        <w:b w:val="0"/>
        <w:bCs w:val="0"/>
        <w:i w:val="0"/>
        <w:iCs w:val="0"/>
        <w:smallCaps w:val="0"/>
        <w:strike w:val="0"/>
        <w:color w:val="000000"/>
        <w:spacing w:val="0"/>
        <w:w w:val="100"/>
        <w:position w:val="0"/>
        <w:sz w:val="22"/>
        <w:szCs w:val="22"/>
        <w:u w:val="none"/>
      </w:rPr>
    </w:lvl>
    <w:lvl w:ilvl="7">
      <w:start w:val="1"/>
      <w:numFmt w:val="decimal"/>
      <w:lvlText w:val="%1.%2.%3"/>
      <w:lvlJc w:val="left"/>
      <w:rPr>
        <w:b w:val="0"/>
        <w:bCs w:val="0"/>
        <w:i w:val="0"/>
        <w:iCs w:val="0"/>
        <w:smallCaps w:val="0"/>
        <w:strike w:val="0"/>
        <w:color w:val="000000"/>
        <w:spacing w:val="0"/>
        <w:w w:val="100"/>
        <w:position w:val="0"/>
        <w:sz w:val="22"/>
        <w:szCs w:val="22"/>
        <w:u w:val="none"/>
      </w:rPr>
    </w:lvl>
    <w:lvl w:ilvl="8">
      <w:start w:val="1"/>
      <w:numFmt w:val="decimal"/>
      <w:lvlText w:val="%1.%2.%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0EF0E1B"/>
    <w:multiLevelType w:val="multilevel"/>
    <w:tmpl w:val="63BECC6C"/>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b/>
        <w:color w:val="FF000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320C96"/>
    <w:multiLevelType w:val="multilevel"/>
    <w:tmpl w:val="BB74FA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6D0920"/>
    <w:multiLevelType w:val="hybridMultilevel"/>
    <w:tmpl w:val="7A7A1E32"/>
    <w:lvl w:ilvl="0" w:tplc="C7E09A80">
      <w:numFmt w:val="bullet"/>
      <w:lvlText w:val="–"/>
      <w:lvlJc w:val="left"/>
      <w:pPr>
        <w:ind w:left="1287"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340C5C"/>
    <w:multiLevelType w:val="multilevel"/>
    <w:tmpl w:val="0B2CDE4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A25D36"/>
    <w:multiLevelType w:val="multilevel"/>
    <w:tmpl w:val="B3323A16"/>
    <w:lvl w:ilvl="0">
      <w:start w:val="6"/>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b/>
        <w:color w:val="auto"/>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B01670"/>
    <w:multiLevelType w:val="multilevel"/>
    <w:tmpl w:val="6E3A26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E8591E"/>
    <w:multiLevelType w:val="multilevel"/>
    <w:tmpl w:val="F35EFB3A"/>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845DF2"/>
    <w:multiLevelType w:val="multilevel"/>
    <w:tmpl w:val="884AE5F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D170CF"/>
    <w:multiLevelType w:val="multilevel"/>
    <w:tmpl w:val="248EB3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0E7EF2"/>
    <w:multiLevelType w:val="hybridMultilevel"/>
    <w:tmpl w:val="97B0BE20"/>
    <w:lvl w:ilvl="0" w:tplc="89C833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4E3F65"/>
    <w:multiLevelType w:val="multilevel"/>
    <w:tmpl w:val="6B8084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A15345"/>
    <w:multiLevelType w:val="multilevel"/>
    <w:tmpl w:val="AD88EA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8E475F"/>
    <w:multiLevelType w:val="multilevel"/>
    <w:tmpl w:val="9140EA88"/>
    <w:lvl w:ilvl="0">
      <w:start w:val="1"/>
      <w:numFmt w:val="decimal"/>
      <w:lvlText w:val="%1."/>
      <w:lvlJc w:val="left"/>
      <w:rPr>
        <w:b/>
        <w:bCs/>
        <w:i w:val="0"/>
        <w:iCs w:val="0"/>
        <w:smallCaps w:val="0"/>
        <w:strike w:val="0"/>
        <w:color w:val="0070C0"/>
        <w:spacing w:val="0"/>
        <w:w w:val="100"/>
        <w:position w:val="0"/>
        <w:sz w:val="24"/>
        <w:szCs w:val="24"/>
        <w:u w:val="none"/>
      </w:rPr>
    </w:lvl>
    <w:lvl w:ilvl="1">
      <w:start w:val="1"/>
      <w:numFmt w:val="russianLower"/>
      <w:lvlText w:val="%2)"/>
      <w:lvlJc w:val="left"/>
      <w:rPr>
        <w:rFonts w:hint="default"/>
        <w:b w:val="0"/>
        <w:bCs w:val="0"/>
        <w:i w:val="0"/>
        <w:iCs w:val="0"/>
        <w:smallCaps w:val="0"/>
        <w:strike w:val="0"/>
        <w:color w:val="auto"/>
        <w:spacing w:val="0"/>
        <w:w w:val="100"/>
        <w:position w:val="0"/>
        <w:sz w:val="24"/>
        <w:szCs w:val="24"/>
        <w:u w:val="none"/>
      </w:rPr>
    </w:lvl>
    <w:lvl w:ilvl="2">
      <w:start w:val="1"/>
      <w:numFmt w:val="decimal"/>
      <w:lvlText w:val="%1.%2.%3"/>
      <w:lvlJc w:val="left"/>
      <w:rPr>
        <w:b w:val="0"/>
        <w:bCs w:val="0"/>
        <w:i w:val="0"/>
        <w:iCs w:val="0"/>
        <w:smallCaps w:val="0"/>
        <w:strike w:val="0"/>
        <w:color w:val="000000"/>
        <w:spacing w:val="0"/>
        <w:w w:val="100"/>
        <w:position w:val="0"/>
        <w:sz w:val="22"/>
        <w:szCs w:val="22"/>
        <w:u w:val="none"/>
      </w:rPr>
    </w:lvl>
    <w:lvl w:ilvl="3">
      <w:start w:val="1"/>
      <w:numFmt w:val="decimal"/>
      <w:lvlText w:val="%1.%2.%3"/>
      <w:lvlJc w:val="left"/>
      <w:rPr>
        <w:b w:val="0"/>
        <w:bCs w:val="0"/>
        <w:i w:val="0"/>
        <w:iCs w:val="0"/>
        <w:smallCaps w:val="0"/>
        <w:strike w:val="0"/>
        <w:color w:val="000000"/>
        <w:spacing w:val="0"/>
        <w:w w:val="100"/>
        <w:position w:val="0"/>
        <w:sz w:val="22"/>
        <w:szCs w:val="22"/>
        <w:u w:val="none"/>
      </w:rPr>
    </w:lvl>
    <w:lvl w:ilvl="4">
      <w:start w:val="1"/>
      <w:numFmt w:val="decimal"/>
      <w:lvlText w:val="%1.%2.%3"/>
      <w:lvlJc w:val="left"/>
      <w:rPr>
        <w:b w:val="0"/>
        <w:bCs w:val="0"/>
        <w:i w:val="0"/>
        <w:iCs w:val="0"/>
        <w:smallCaps w:val="0"/>
        <w:strike w:val="0"/>
        <w:color w:val="000000"/>
        <w:spacing w:val="0"/>
        <w:w w:val="100"/>
        <w:position w:val="0"/>
        <w:sz w:val="22"/>
        <w:szCs w:val="22"/>
        <w:u w:val="none"/>
      </w:rPr>
    </w:lvl>
    <w:lvl w:ilvl="5">
      <w:start w:val="1"/>
      <w:numFmt w:val="decimal"/>
      <w:lvlText w:val="%1.%2.%3"/>
      <w:lvlJc w:val="left"/>
      <w:rPr>
        <w:b w:val="0"/>
        <w:bCs w:val="0"/>
        <w:i w:val="0"/>
        <w:iCs w:val="0"/>
        <w:smallCaps w:val="0"/>
        <w:strike w:val="0"/>
        <w:color w:val="000000"/>
        <w:spacing w:val="0"/>
        <w:w w:val="100"/>
        <w:position w:val="0"/>
        <w:sz w:val="22"/>
        <w:szCs w:val="22"/>
        <w:u w:val="none"/>
      </w:rPr>
    </w:lvl>
    <w:lvl w:ilvl="6">
      <w:start w:val="1"/>
      <w:numFmt w:val="decimal"/>
      <w:lvlText w:val="%1.%2.%3"/>
      <w:lvlJc w:val="left"/>
      <w:rPr>
        <w:b w:val="0"/>
        <w:bCs w:val="0"/>
        <w:i w:val="0"/>
        <w:iCs w:val="0"/>
        <w:smallCaps w:val="0"/>
        <w:strike w:val="0"/>
        <w:color w:val="000000"/>
        <w:spacing w:val="0"/>
        <w:w w:val="100"/>
        <w:position w:val="0"/>
        <w:sz w:val="22"/>
        <w:szCs w:val="22"/>
        <w:u w:val="none"/>
      </w:rPr>
    </w:lvl>
    <w:lvl w:ilvl="7">
      <w:start w:val="1"/>
      <w:numFmt w:val="decimal"/>
      <w:lvlText w:val="%1.%2.%3"/>
      <w:lvlJc w:val="left"/>
      <w:rPr>
        <w:b w:val="0"/>
        <w:bCs w:val="0"/>
        <w:i w:val="0"/>
        <w:iCs w:val="0"/>
        <w:smallCaps w:val="0"/>
        <w:strike w:val="0"/>
        <w:color w:val="000000"/>
        <w:spacing w:val="0"/>
        <w:w w:val="100"/>
        <w:position w:val="0"/>
        <w:sz w:val="22"/>
        <w:szCs w:val="22"/>
        <w:u w:val="none"/>
      </w:rPr>
    </w:lvl>
    <w:lvl w:ilvl="8">
      <w:start w:val="1"/>
      <w:numFmt w:val="decimal"/>
      <w:lvlText w:val="%1.%2.%3"/>
      <w:lvlJc w:val="left"/>
      <w:rPr>
        <w:b w:val="0"/>
        <w:bCs w:val="0"/>
        <w:i w:val="0"/>
        <w:iCs w:val="0"/>
        <w:smallCaps w:val="0"/>
        <w:strike w:val="0"/>
        <w:color w:val="000000"/>
        <w:spacing w:val="0"/>
        <w:w w:val="100"/>
        <w:position w:val="0"/>
        <w:sz w:val="22"/>
        <w:szCs w:val="22"/>
        <w:u w:val="none"/>
      </w:rPr>
    </w:lvl>
  </w:abstractNum>
  <w:abstractNum w:abstractNumId="14" w15:restartNumberingAfterBreak="0">
    <w:nsid w:val="35A1294B"/>
    <w:multiLevelType w:val="hybridMultilevel"/>
    <w:tmpl w:val="A5FAE7C8"/>
    <w:lvl w:ilvl="0" w:tplc="8F66DE10">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15" w15:restartNumberingAfterBreak="0">
    <w:nsid w:val="360F2659"/>
    <w:multiLevelType w:val="multilevel"/>
    <w:tmpl w:val="A4F623DE"/>
    <w:lvl w:ilvl="0">
      <w:start w:val="5"/>
      <w:numFmt w:val="decimal"/>
      <w:lvlText w:val="%1"/>
      <w:lvlJc w:val="left"/>
      <w:pPr>
        <w:ind w:left="360" w:hanging="360"/>
      </w:pPr>
      <w:rPr>
        <w:rFonts w:hint="default"/>
      </w:rPr>
    </w:lvl>
    <w:lvl w:ilvl="1">
      <w:start w:val="1"/>
      <w:numFmt w:val="bullet"/>
      <w:lvlText w:val=""/>
      <w:lvlJc w:val="left"/>
      <w:pPr>
        <w:ind w:left="107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B20B4C"/>
    <w:multiLevelType w:val="multilevel"/>
    <w:tmpl w:val="6E3A26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BB64B9"/>
    <w:multiLevelType w:val="multilevel"/>
    <w:tmpl w:val="C31CA69C"/>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714763"/>
    <w:multiLevelType w:val="hybridMultilevel"/>
    <w:tmpl w:val="C1C05796"/>
    <w:lvl w:ilvl="0" w:tplc="C7E09A80">
      <w:numFmt w:val="bullet"/>
      <w:lvlText w:val="–"/>
      <w:lvlJc w:val="left"/>
      <w:pPr>
        <w:ind w:left="1429"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30486A"/>
    <w:multiLevelType w:val="multilevel"/>
    <w:tmpl w:val="AB1286D0"/>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7B19AF"/>
    <w:multiLevelType w:val="multilevel"/>
    <w:tmpl w:val="50286D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40E5C62"/>
    <w:multiLevelType w:val="hybridMultilevel"/>
    <w:tmpl w:val="A68A8D80"/>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51302F9"/>
    <w:multiLevelType w:val="hybridMultilevel"/>
    <w:tmpl w:val="7A30179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15:restartNumberingAfterBreak="0">
    <w:nsid w:val="5C492E03"/>
    <w:multiLevelType w:val="multilevel"/>
    <w:tmpl w:val="87B24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8A544A"/>
    <w:multiLevelType w:val="multilevel"/>
    <w:tmpl w:val="A62A369C"/>
    <w:lvl w:ilvl="0">
      <w:start w:val="1"/>
      <w:numFmt w:val="decimal"/>
      <w:lvlText w:val="%1."/>
      <w:lvlJc w:val="left"/>
      <w:rPr>
        <w:b/>
        <w:bCs/>
        <w:i w:val="0"/>
        <w:iCs w:val="0"/>
        <w:smallCaps w:val="0"/>
        <w:strike w:val="0"/>
        <w:color w:val="0070C0"/>
        <w:spacing w:val="0"/>
        <w:w w:val="100"/>
        <w:position w:val="0"/>
        <w:sz w:val="24"/>
        <w:szCs w:val="24"/>
        <w:u w:val="none"/>
      </w:rPr>
    </w:lvl>
    <w:lvl w:ilvl="1">
      <w:start w:val="1"/>
      <w:numFmt w:val="bullet"/>
      <w:lvlText w:val=""/>
      <w:lvlJc w:val="left"/>
      <w:rPr>
        <w:rFonts w:ascii="Symbol" w:hAnsi="Symbol" w:hint="default"/>
        <w:b/>
        <w:bCs w:val="0"/>
        <w:i w:val="0"/>
        <w:iCs w:val="0"/>
        <w:smallCaps w:val="0"/>
        <w:strike w:val="0"/>
        <w:color w:val="000000"/>
        <w:spacing w:val="0"/>
        <w:w w:val="100"/>
        <w:position w:val="0"/>
        <w:sz w:val="24"/>
        <w:szCs w:val="24"/>
        <w:u w:val="none"/>
      </w:rPr>
    </w:lvl>
    <w:lvl w:ilvl="2">
      <w:start w:val="1"/>
      <w:numFmt w:val="decimal"/>
      <w:lvlText w:val="%1.%2.%3"/>
      <w:lvlJc w:val="left"/>
      <w:rPr>
        <w:b w:val="0"/>
        <w:bCs w:val="0"/>
        <w:i w:val="0"/>
        <w:iCs w:val="0"/>
        <w:smallCaps w:val="0"/>
        <w:strike w:val="0"/>
        <w:color w:val="000000"/>
        <w:spacing w:val="0"/>
        <w:w w:val="100"/>
        <w:position w:val="0"/>
        <w:sz w:val="22"/>
        <w:szCs w:val="22"/>
        <w:u w:val="none"/>
      </w:rPr>
    </w:lvl>
    <w:lvl w:ilvl="3">
      <w:start w:val="1"/>
      <w:numFmt w:val="decimal"/>
      <w:lvlText w:val="%1.%2.%3"/>
      <w:lvlJc w:val="left"/>
      <w:rPr>
        <w:b w:val="0"/>
        <w:bCs w:val="0"/>
        <w:i w:val="0"/>
        <w:iCs w:val="0"/>
        <w:smallCaps w:val="0"/>
        <w:strike w:val="0"/>
        <w:color w:val="000000"/>
        <w:spacing w:val="0"/>
        <w:w w:val="100"/>
        <w:position w:val="0"/>
        <w:sz w:val="22"/>
        <w:szCs w:val="22"/>
        <w:u w:val="none"/>
      </w:rPr>
    </w:lvl>
    <w:lvl w:ilvl="4">
      <w:start w:val="1"/>
      <w:numFmt w:val="decimal"/>
      <w:lvlText w:val="%1.%2.%3"/>
      <w:lvlJc w:val="left"/>
      <w:rPr>
        <w:b w:val="0"/>
        <w:bCs w:val="0"/>
        <w:i w:val="0"/>
        <w:iCs w:val="0"/>
        <w:smallCaps w:val="0"/>
        <w:strike w:val="0"/>
        <w:color w:val="000000"/>
        <w:spacing w:val="0"/>
        <w:w w:val="100"/>
        <w:position w:val="0"/>
        <w:sz w:val="22"/>
        <w:szCs w:val="22"/>
        <w:u w:val="none"/>
      </w:rPr>
    </w:lvl>
    <w:lvl w:ilvl="5">
      <w:start w:val="1"/>
      <w:numFmt w:val="decimal"/>
      <w:lvlText w:val="%1.%2.%3"/>
      <w:lvlJc w:val="left"/>
      <w:rPr>
        <w:b w:val="0"/>
        <w:bCs w:val="0"/>
        <w:i w:val="0"/>
        <w:iCs w:val="0"/>
        <w:smallCaps w:val="0"/>
        <w:strike w:val="0"/>
        <w:color w:val="000000"/>
        <w:spacing w:val="0"/>
        <w:w w:val="100"/>
        <w:position w:val="0"/>
        <w:sz w:val="22"/>
        <w:szCs w:val="22"/>
        <w:u w:val="none"/>
      </w:rPr>
    </w:lvl>
    <w:lvl w:ilvl="6">
      <w:start w:val="1"/>
      <w:numFmt w:val="decimal"/>
      <w:lvlText w:val="%1.%2.%3"/>
      <w:lvlJc w:val="left"/>
      <w:rPr>
        <w:b w:val="0"/>
        <w:bCs w:val="0"/>
        <w:i w:val="0"/>
        <w:iCs w:val="0"/>
        <w:smallCaps w:val="0"/>
        <w:strike w:val="0"/>
        <w:color w:val="000000"/>
        <w:spacing w:val="0"/>
        <w:w w:val="100"/>
        <w:position w:val="0"/>
        <w:sz w:val="22"/>
        <w:szCs w:val="22"/>
        <w:u w:val="none"/>
      </w:rPr>
    </w:lvl>
    <w:lvl w:ilvl="7">
      <w:start w:val="1"/>
      <w:numFmt w:val="decimal"/>
      <w:lvlText w:val="%1.%2.%3"/>
      <w:lvlJc w:val="left"/>
      <w:rPr>
        <w:b w:val="0"/>
        <w:bCs w:val="0"/>
        <w:i w:val="0"/>
        <w:iCs w:val="0"/>
        <w:smallCaps w:val="0"/>
        <w:strike w:val="0"/>
        <w:color w:val="000000"/>
        <w:spacing w:val="0"/>
        <w:w w:val="100"/>
        <w:position w:val="0"/>
        <w:sz w:val="22"/>
        <w:szCs w:val="22"/>
        <w:u w:val="none"/>
      </w:rPr>
    </w:lvl>
    <w:lvl w:ilvl="8">
      <w:start w:val="1"/>
      <w:numFmt w:val="decimal"/>
      <w:lvlText w:val="%1.%2.%3"/>
      <w:lvlJc w:val="left"/>
      <w:rPr>
        <w:b w:val="0"/>
        <w:bCs w:val="0"/>
        <w:i w:val="0"/>
        <w:iCs w:val="0"/>
        <w:smallCaps w:val="0"/>
        <w:strike w:val="0"/>
        <w:color w:val="000000"/>
        <w:spacing w:val="0"/>
        <w:w w:val="100"/>
        <w:position w:val="0"/>
        <w:sz w:val="22"/>
        <w:szCs w:val="22"/>
        <w:u w:val="none"/>
      </w:rPr>
    </w:lvl>
  </w:abstractNum>
  <w:abstractNum w:abstractNumId="25" w15:restartNumberingAfterBreak="0">
    <w:nsid w:val="6A49338E"/>
    <w:multiLevelType w:val="multilevel"/>
    <w:tmpl w:val="3EB2C81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BF0AC0"/>
    <w:multiLevelType w:val="multilevel"/>
    <w:tmpl w:val="EDF456F2"/>
    <w:lvl w:ilvl="0">
      <w:start w:val="6"/>
      <w:numFmt w:val="decimal"/>
      <w:lvlText w:val="%1"/>
      <w:lvlJc w:val="left"/>
      <w:pPr>
        <w:ind w:left="480" w:hanging="480"/>
      </w:pPr>
      <w:rPr>
        <w:rFonts w:hint="default"/>
      </w:rPr>
    </w:lvl>
    <w:lvl w:ilvl="1">
      <w:start w:val="1"/>
      <w:numFmt w:val="decimal"/>
      <w:lvlText w:val="%1.%2"/>
      <w:lvlJc w:val="left"/>
      <w:pPr>
        <w:ind w:left="1331" w:hanging="480"/>
      </w:pPr>
      <w:rPr>
        <w:rFonts w:hint="default"/>
        <w:b/>
        <w:color w:val="000000" w:themeColor="text1"/>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8C4238"/>
    <w:multiLevelType w:val="multilevel"/>
    <w:tmpl w:val="BF48C0E2"/>
    <w:lvl w:ilvl="0">
      <w:start w:val="1"/>
      <w:numFmt w:val="decimal"/>
      <w:lvlText w:val="%1"/>
      <w:lvlJc w:val="left"/>
      <w:pPr>
        <w:ind w:left="357" w:hanging="357"/>
      </w:pPr>
      <w:rPr>
        <w:rFonts w:ascii="Times New Roman" w:hAnsi="Times New Roman" w:cs="Times New Roman" w:hint="default"/>
        <w:b/>
      </w:rPr>
    </w:lvl>
    <w:lvl w:ilvl="1">
      <w:start w:val="1"/>
      <w:numFmt w:val="decimal"/>
      <w:lvlText w:val="%2."/>
      <w:lvlJc w:val="left"/>
      <w:pPr>
        <w:tabs>
          <w:tab w:val="num" w:pos="680"/>
        </w:tabs>
        <w:ind w:left="357" w:hanging="357"/>
      </w:pPr>
      <w:rPr>
        <w:i w:val="0"/>
      </w:rPr>
    </w:lvl>
    <w:lvl w:ilvl="2">
      <w:start w:val="1"/>
      <w:numFmt w:val="decimal"/>
      <w:lvlText w:val="%1.%2.%3"/>
      <w:lvlJc w:val="left"/>
      <w:pPr>
        <w:ind w:left="357" w:hanging="357"/>
      </w:pPr>
      <w:rPr>
        <w:rFonts w:cs="Times New Roman"/>
        <w:i w:val="0"/>
      </w:rPr>
    </w:lvl>
    <w:lvl w:ilvl="3">
      <w:start w:val="1"/>
      <w:numFmt w:val="decimal"/>
      <w:lvlText w:val="%1.%2.%3.%4"/>
      <w:lvlJc w:val="left"/>
      <w:pPr>
        <w:tabs>
          <w:tab w:val="num" w:pos="851"/>
        </w:tabs>
        <w:ind w:left="0" w:firstLine="0"/>
      </w:pPr>
      <w:rPr>
        <w:rFonts w:cs="Times New Roman"/>
        <w:b w:val="0"/>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8" w15:restartNumberingAfterBreak="0">
    <w:nsid w:val="7C0115B5"/>
    <w:multiLevelType w:val="multilevel"/>
    <w:tmpl w:val="090420EC"/>
    <w:lvl w:ilvl="0">
      <w:start w:val="6"/>
      <w:numFmt w:val="decimal"/>
      <w:lvlText w:val="%1"/>
      <w:lvlJc w:val="left"/>
      <w:pPr>
        <w:ind w:left="360" w:hanging="360"/>
      </w:pPr>
      <w:rPr>
        <w:rFonts w:hint="default"/>
      </w:rPr>
    </w:lvl>
    <w:lvl w:ilvl="1">
      <w:start w:val="1"/>
      <w:numFmt w:val="russianLower"/>
      <w:lvlText w:val="%2)"/>
      <w:lvlJc w:val="left"/>
      <w:pPr>
        <w:ind w:left="360" w:hanging="360"/>
      </w:pPr>
      <w:rPr>
        <w:rFonts w:hint="default"/>
        <w:b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1"/>
  </w:num>
  <w:num w:numId="3">
    <w:abstractNumId w:val="20"/>
  </w:num>
  <w:num w:numId="4">
    <w:abstractNumId w:val="12"/>
  </w:num>
  <w:num w:numId="5">
    <w:abstractNumId w:val="11"/>
  </w:num>
  <w:num w:numId="6">
    <w:abstractNumId w:val="19"/>
  </w:num>
  <w:num w:numId="7">
    <w:abstractNumId w:val="15"/>
  </w:num>
  <w:num w:numId="8">
    <w:abstractNumId w:val="17"/>
  </w:num>
  <w:num w:numId="9">
    <w:abstractNumId w:val="6"/>
  </w:num>
  <w:num w:numId="10">
    <w:abstractNumId w:val="4"/>
  </w:num>
  <w:num w:numId="11">
    <w:abstractNumId w:val="16"/>
  </w:num>
  <w:num w:numId="12">
    <w:abstractNumId w:val="28"/>
  </w:num>
  <w:num w:numId="13">
    <w:abstractNumId w:val="13"/>
  </w:num>
  <w:num w:numId="14">
    <w:abstractNumId w:val="24"/>
  </w:num>
  <w:num w:numId="15">
    <w:abstractNumId w:val="7"/>
  </w:num>
  <w:num w:numId="16">
    <w:abstractNumId w:val="2"/>
  </w:num>
  <w:num w:numId="17">
    <w:abstractNumId w:val="23"/>
  </w:num>
  <w:num w:numId="18">
    <w:abstractNumId w:val="8"/>
  </w:num>
  <w:num w:numId="19">
    <w:abstractNumId w:val="26"/>
  </w:num>
  <w:num w:numId="20">
    <w:abstractNumId w:val="9"/>
  </w:num>
  <w:num w:numId="21">
    <w:abstractNumId w:val="5"/>
  </w:num>
  <w:num w:numId="22">
    <w:abstractNumId w:val="1"/>
  </w:num>
  <w:num w:numId="23">
    <w:abstractNumId w:val="3"/>
  </w:num>
  <w:num w:numId="24">
    <w:abstractNumId w:val="18"/>
  </w:num>
  <w:num w:numId="25">
    <w:abstractNumId w:val="25"/>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2"/>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B14"/>
    <w:rsid w:val="00150913"/>
    <w:rsid w:val="001B0B14"/>
    <w:rsid w:val="005F7E45"/>
    <w:rsid w:val="007E7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EFE0E"/>
  <w15:chartTrackingRefBased/>
  <w15:docId w15:val="{5CEE0D37-60BD-469A-ACD9-D079323E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4D78" w:themeColor="accent1" w:themeShade="7F"/>
      <w:sz w:val="24"/>
      <w:szCs w:val="24"/>
    </w:rPr>
  </w:style>
  <w:style w:type="paragraph" w:styleId="a3">
    <w:name w:val="List Paragraph"/>
    <w:aliases w:val="Нумерованый список,List Paragraph1,Нумерованный спиков,Абзац маркированнный,Subtle Emphasis,ПАРАГРАФ,head 5,Светлая сетка - Акцент 31,Списки,Normal bold,Bullet List Paragraph,Use Case List Paragraph,Bullet List,FooterText,numbered,lp1"/>
    <w:basedOn w:val="a"/>
    <w:link w:val="a4"/>
    <w:uiPriority w:val="34"/>
    <w:qFormat/>
    <w:pPr>
      <w:spacing w:after="0" w:line="240" w:lineRule="auto"/>
      <w:ind w:left="720"/>
      <w:contextualSpacing/>
    </w:pPr>
    <w:rPr>
      <w:rFonts w:ascii="Times New Roman" w:eastAsia="Times New Roman" w:hAnsi="Times New Roman" w:cs="Times New Roman"/>
      <w:sz w:val="20"/>
      <w:szCs w:val="20"/>
      <w:lang w:eastAsia="ru-RU"/>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6"/>
    <w:pPr>
      <w:widowControl w:val="0"/>
      <w:shd w:val="clear" w:color="auto" w:fill="FFFFFF"/>
      <w:autoSpaceDE w:val="0"/>
      <w:autoSpaceDN w:val="0"/>
      <w:adjustRightInd w:val="0"/>
      <w:spacing w:after="0" w:line="240" w:lineRule="auto"/>
      <w:jc w:val="both"/>
    </w:pPr>
    <w:rPr>
      <w:rFonts w:ascii="Times New Roman" w:eastAsia="Calibri" w:hAnsi="Times New Roman" w:cs="Times New Roman"/>
      <w:sz w:val="20"/>
      <w:szCs w:val="20"/>
      <w:lang w:val="x-none" w:eastAsia="ru-RU"/>
    </w:rPr>
  </w:style>
  <w:style w:type="character" w:customStyle="1" w:styleId="a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5"/>
    <w:rPr>
      <w:rFonts w:ascii="Times New Roman" w:eastAsia="Calibri" w:hAnsi="Times New Roman" w:cs="Times New Roman"/>
      <w:sz w:val="20"/>
      <w:szCs w:val="20"/>
      <w:shd w:val="clear" w:color="auto" w:fill="FFFFFF"/>
      <w:lang w:val="x-none" w:eastAsia="ru-RU"/>
    </w:rPr>
  </w:style>
  <w:style w:type="character" w:customStyle="1" w:styleId="a4">
    <w:name w:val="Абзац списка Знак"/>
    <w:aliases w:val="Нумерованый список Знак,List Paragraph1 Знак,Нумерованный спиков Знак,Абзац маркированнный Знак,Subtle Emphasis Знак,ПАРАГРАФ Знак,head 5 Знак,Светлая сетка - Акцент 31 Знак,Списки Знак,Normal bold Знак,Bullet List Paragraph Знак"/>
    <w:link w:val="a3"/>
    <w:uiPriority w:val="34"/>
    <w:locked/>
    <w:rPr>
      <w:rFonts w:ascii="Times New Roman" w:eastAsia="Times New Roman" w:hAnsi="Times New Roman" w:cs="Times New Roman"/>
      <w:sz w:val="20"/>
      <w:szCs w:val="20"/>
      <w:lang w:eastAsia="ru-RU"/>
    </w:rPr>
  </w:style>
  <w:style w:type="paragraph" w:styleId="a7">
    <w:name w:val="header"/>
    <w:basedOn w:val="a"/>
    <w:link w:val="a8"/>
    <w:uiPriority w:val="99"/>
    <w:unhideWhenUsed/>
    <w:pPr>
      <w:tabs>
        <w:tab w:val="center" w:pos="4677"/>
        <w:tab w:val="right" w:pos="9355"/>
      </w:tabs>
      <w:spacing w:after="0" w:line="240" w:lineRule="auto"/>
    </w:pPr>
  </w:style>
  <w:style w:type="character" w:customStyle="1" w:styleId="a8">
    <w:name w:val="Верхний колонтитул Знак"/>
    <w:basedOn w:val="a0"/>
    <w:link w:val="a7"/>
    <w:uiPriority w:val="99"/>
  </w:style>
  <w:style w:type="paragraph" w:styleId="a9">
    <w:name w:val="footer"/>
    <w:basedOn w:val="a"/>
    <w:link w:val="aa"/>
    <w:uiPriority w:val="99"/>
    <w:unhideWhenUsed/>
    <w:pPr>
      <w:tabs>
        <w:tab w:val="center" w:pos="4677"/>
        <w:tab w:val="right" w:pos="9355"/>
      </w:tabs>
      <w:spacing w:after="0" w:line="240" w:lineRule="auto"/>
    </w:pPr>
  </w:style>
  <w:style w:type="character" w:customStyle="1" w:styleId="aa">
    <w:name w:val="Нижний колонтитул Знак"/>
    <w:basedOn w:val="a0"/>
    <w:link w:val="a9"/>
    <w:uiPriority w:val="99"/>
  </w:style>
  <w:style w:type="table" w:styleId="ab">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pPr>
      <w:spacing w:after="0" w:line="240" w:lineRule="auto"/>
    </w:pPr>
    <w:rPr>
      <w:rFonts w:ascii="Arial CYR" w:eastAsia="Times New Roman" w:hAnsi="Arial CYR" w:cs="Arial CYR"/>
      <w:sz w:val="16"/>
      <w:szCs w:val="16"/>
      <w:lang w:eastAsia="ru-RU"/>
    </w:rPr>
  </w:style>
  <w:style w:type="paragraph" w:styleId="ad">
    <w:name w:val="Revision"/>
    <w:hidden/>
    <w:uiPriority w:val="99"/>
    <w:semiHidden/>
    <w:pPr>
      <w:spacing w:after="0" w:line="240" w:lineRule="auto"/>
    </w:p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pPr>
      <w:spacing w:line="240" w:lineRule="auto"/>
    </w:pPr>
    <w:rPr>
      <w:sz w:val="20"/>
      <w:szCs w:val="20"/>
    </w:rPr>
  </w:style>
  <w:style w:type="character" w:customStyle="1" w:styleId="af0">
    <w:name w:val="Текст примечания Знак"/>
    <w:basedOn w:val="a0"/>
    <w:link w:val="af"/>
    <w:uiPriority w:val="99"/>
    <w:semiHidden/>
    <w:rPr>
      <w:sz w:val="20"/>
      <w:szCs w:val="20"/>
    </w:rPr>
  </w:style>
  <w:style w:type="paragraph" w:styleId="af1">
    <w:name w:val="annotation subject"/>
    <w:basedOn w:val="af"/>
    <w:next w:val="af"/>
    <w:link w:val="af2"/>
    <w:uiPriority w:val="99"/>
    <w:semiHidden/>
    <w:unhideWhenUsed/>
    <w:rPr>
      <w:b/>
      <w:bCs/>
    </w:rPr>
  </w:style>
  <w:style w:type="character" w:customStyle="1" w:styleId="af2">
    <w:name w:val="Тема примечания Знак"/>
    <w:basedOn w:val="af0"/>
    <w:link w:val="af1"/>
    <w:uiPriority w:val="99"/>
    <w:semiHidden/>
    <w:rPr>
      <w:b/>
      <w:bCs/>
      <w:sz w:val="20"/>
      <w:szCs w:val="20"/>
    </w:rPr>
  </w:style>
  <w:style w:type="paragraph" w:styleId="af3">
    <w:name w:val="Balloon Text"/>
    <w:basedOn w:val="a"/>
    <w:link w:val="af4"/>
    <w:uiPriority w:val="99"/>
    <w:semiHidden/>
    <w:unhideWhenUsed/>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26145">
      <w:bodyDiv w:val="1"/>
      <w:marLeft w:val="0"/>
      <w:marRight w:val="0"/>
      <w:marTop w:val="0"/>
      <w:marBottom w:val="0"/>
      <w:divBdr>
        <w:top w:val="none" w:sz="0" w:space="0" w:color="auto"/>
        <w:left w:val="none" w:sz="0" w:space="0" w:color="auto"/>
        <w:bottom w:val="none" w:sz="0" w:space="0" w:color="auto"/>
        <w:right w:val="none" w:sz="0" w:space="0" w:color="auto"/>
      </w:divBdr>
    </w:div>
    <w:div w:id="332804269">
      <w:bodyDiv w:val="1"/>
      <w:marLeft w:val="0"/>
      <w:marRight w:val="0"/>
      <w:marTop w:val="0"/>
      <w:marBottom w:val="0"/>
      <w:divBdr>
        <w:top w:val="none" w:sz="0" w:space="0" w:color="auto"/>
        <w:left w:val="none" w:sz="0" w:space="0" w:color="auto"/>
        <w:bottom w:val="none" w:sz="0" w:space="0" w:color="auto"/>
        <w:right w:val="none" w:sz="0" w:space="0" w:color="auto"/>
      </w:divBdr>
    </w:div>
    <w:div w:id="397173372">
      <w:bodyDiv w:val="1"/>
      <w:marLeft w:val="0"/>
      <w:marRight w:val="0"/>
      <w:marTop w:val="0"/>
      <w:marBottom w:val="0"/>
      <w:divBdr>
        <w:top w:val="none" w:sz="0" w:space="0" w:color="auto"/>
        <w:left w:val="none" w:sz="0" w:space="0" w:color="auto"/>
        <w:bottom w:val="none" w:sz="0" w:space="0" w:color="auto"/>
        <w:right w:val="none" w:sz="0" w:space="0" w:color="auto"/>
      </w:divBdr>
    </w:div>
    <w:div w:id="131290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8/08/relationships/commentsExtensible" Target="commentsExtensible.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42BC0-CD0A-41C9-844A-FD068025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4407</Words>
  <Characters>25124</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Александров Александр Сергеевич</dc:creator>
  <cp:keywords/>
  <dc:description/>
  <cp:lastModifiedBy>Ломакин Олег Святославович</cp:lastModifiedBy>
  <cp:revision>2</cp:revision>
  <dcterms:created xsi:type="dcterms:W3CDTF">2023-12-08T09:15:00Z</dcterms:created>
  <dcterms:modified xsi:type="dcterms:W3CDTF">2023-12-08T09:15:00Z</dcterms:modified>
</cp:coreProperties>
</file>